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593E" w14:textId="77777777" w:rsidR="00D157D2" w:rsidRDefault="00D157D2" w:rsidP="00704A39">
      <w:pPr>
        <w:pStyle w:val="Standard"/>
        <w:spacing w:line="276" w:lineRule="auto"/>
        <w:rPr>
          <w:b/>
          <w:bCs/>
        </w:rPr>
      </w:pPr>
    </w:p>
    <w:p w14:paraId="11A196E9" w14:textId="3DA62384" w:rsidR="005C16C5" w:rsidRPr="0027508E" w:rsidRDefault="005C16C5" w:rsidP="006F5404">
      <w:pPr>
        <w:pStyle w:val="Standard"/>
        <w:spacing w:line="276" w:lineRule="auto"/>
        <w:jc w:val="center"/>
        <w:rPr>
          <w:b/>
          <w:bCs/>
        </w:rPr>
      </w:pPr>
      <w:r w:rsidRPr="0027508E">
        <w:rPr>
          <w:b/>
          <w:bCs/>
        </w:rPr>
        <w:t>Tiesnešu ētikas komisija</w:t>
      </w:r>
    </w:p>
    <w:p w14:paraId="7F2721E3" w14:textId="77777777" w:rsidR="005C16C5" w:rsidRPr="009F1ACD" w:rsidRDefault="005C16C5" w:rsidP="006F5404">
      <w:pPr>
        <w:pStyle w:val="Standard"/>
        <w:spacing w:line="276" w:lineRule="auto"/>
        <w:jc w:val="center"/>
        <w:rPr>
          <w:sz w:val="28"/>
          <w:szCs w:val="28"/>
        </w:rPr>
      </w:pPr>
    </w:p>
    <w:p w14:paraId="1B4BF8FA" w14:textId="77777777" w:rsidR="005C16C5" w:rsidRPr="009F1ACD" w:rsidRDefault="005C16C5" w:rsidP="006F5404">
      <w:pPr>
        <w:pStyle w:val="Standard"/>
        <w:spacing w:line="276" w:lineRule="auto"/>
        <w:jc w:val="center"/>
        <w:rPr>
          <w:b/>
          <w:bCs/>
          <w:sz w:val="28"/>
          <w:szCs w:val="28"/>
        </w:rPr>
      </w:pPr>
      <w:r w:rsidRPr="009F1ACD">
        <w:rPr>
          <w:b/>
          <w:bCs/>
          <w:sz w:val="28"/>
          <w:szCs w:val="28"/>
        </w:rPr>
        <w:t>ATZINUMS</w:t>
      </w:r>
    </w:p>
    <w:p w14:paraId="4C9B5DDF" w14:textId="77777777" w:rsidR="005C16C5" w:rsidRPr="0027508E" w:rsidRDefault="005C16C5" w:rsidP="006F5404">
      <w:pPr>
        <w:pStyle w:val="Standard"/>
        <w:spacing w:line="276" w:lineRule="auto"/>
        <w:jc w:val="center"/>
        <w:rPr>
          <w:b/>
          <w:bCs/>
        </w:rPr>
      </w:pPr>
    </w:p>
    <w:p w14:paraId="7F6CFFB0" w14:textId="43CE602E" w:rsidR="005C16C5" w:rsidRPr="0027508E" w:rsidRDefault="005C16C5" w:rsidP="006F5404">
      <w:pPr>
        <w:pStyle w:val="Standard"/>
        <w:spacing w:line="276" w:lineRule="auto"/>
        <w:jc w:val="right"/>
      </w:pPr>
      <w:r w:rsidRPr="0027508E">
        <w:t xml:space="preserve">                                                                                              202</w:t>
      </w:r>
      <w:r w:rsidR="0027508E" w:rsidRPr="0027508E">
        <w:t>4</w:t>
      </w:r>
      <w:r w:rsidRPr="0027508E">
        <w:t xml:space="preserve">. gada </w:t>
      </w:r>
      <w:r w:rsidR="0027508E" w:rsidRPr="0027508E">
        <w:t>3</w:t>
      </w:r>
      <w:r w:rsidRPr="0027508E">
        <w:t>. </w:t>
      </w:r>
      <w:r w:rsidR="0027508E" w:rsidRPr="0027508E">
        <w:t>aprīlī</w:t>
      </w:r>
    </w:p>
    <w:p w14:paraId="7E078ECC" w14:textId="77777777" w:rsidR="00AB2653" w:rsidRDefault="00AB2653" w:rsidP="006F5404">
      <w:pPr>
        <w:pStyle w:val="Standard"/>
        <w:spacing w:line="276" w:lineRule="auto"/>
        <w:jc w:val="center"/>
        <w:rPr>
          <w:rFonts w:ascii="Aptos" w:hAnsi="Aptos"/>
          <w:color w:val="000000"/>
          <w:shd w:val="clear" w:color="auto" w:fill="FFFFFF"/>
        </w:rPr>
      </w:pPr>
    </w:p>
    <w:p w14:paraId="7868F2AA" w14:textId="21E48C32" w:rsidR="00AB2653" w:rsidRPr="00AB2653" w:rsidRDefault="00AB2653" w:rsidP="00AB2653">
      <w:pPr>
        <w:pStyle w:val="Standard"/>
        <w:spacing w:line="276" w:lineRule="auto"/>
        <w:ind w:firstLine="567"/>
        <w:jc w:val="both"/>
      </w:pPr>
      <w:r>
        <w:t xml:space="preserve">[1] Saskaņā ar </w:t>
      </w:r>
      <w:r w:rsidRPr="00AB2653">
        <w:t>Tiesnešu disciplinārās atbildības likuma 3.</w:t>
      </w:r>
      <w:r w:rsidR="00713FBA">
        <w:t> </w:t>
      </w:r>
      <w:r w:rsidRPr="00AB2653">
        <w:t>panta 2</w:t>
      </w:r>
      <w:r w:rsidRPr="00AB2653">
        <w:rPr>
          <w:vertAlign w:val="superscript"/>
        </w:rPr>
        <w:t>1</w:t>
      </w:r>
      <w:r w:rsidRPr="00AB2653">
        <w:t>.</w:t>
      </w:r>
      <w:r w:rsidR="00713FBA">
        <w:t> </w:t>
      </w:r>
      <w:r w:rsidRPr="00AB2653">
        <w:t>daļu</w:t>
      </w:r>
      <w:r w:rsidR="00713FBA">
        <w:t xml:space="preserve"> </w:t>
      </w:r>
      <w:r w:rsidRPr="00AB2653">
        <w:t>Tiesnešu ētikas komisija</w:t>
      </w:r>
      <w:r w:rsidR="0081169B">
        <w:t xml:space="preserve"> nolūkā </w:t>
      </w:r>
      <w:r w:rsidRPr="00AB2653">
        <w:t>izvērtēt Tiesnešu ētikas kodeksa normu iespējamu rupju pārkāpumu saistībā ar administratīvā pārkāpuma izdarīšanu ne retāk kā reizi sešos mēnešos pieprasa no Sodu reģistra informāciju par tiesneš</w:t>
      </w:r>
      <w:r>
        <w:t>u</w:t>
      </w:r>
      <w:r w:rsidRPr="00AB2653">
        <w:t xml:space="preserve"> izdarīt</w:t>
      </w:r>
      <w:r>
        <w:t>iem</w:t>
      </w:r>
      <w:r w:rsidRPr="00AB2653">
        <w:t xml:space="preserve"> administratīv</w:t>
      </w:r>
      <w:r>
        <w:t>iem</w:t>
      </w:r>
      <w:r w:rsidRPr="00AB2653">
        <w:t xml:space="preserve"> pārkāpum</w:t>
      </w:r>
      <w:r>
        <w:t>iem.</w:t>
      </w:r>
    </w:p>
    <w:p w14:paraId="04C1B1FE" w14:textId="74489E45" w:rsidR="0027508E" w:rsidRDefault="0027508E" w:rsidP="00AB2653">
      <w:pPr>
        <w:pStyle w:val="Standard"/>
        <w:spacing w:line="276" w:lineRule="auto"/>
        <w:ind w:firstLine="567"/>
        <w:jc w:val="both"/>
      </w:pPr>
      <w:r w:rsidRPr="0027508E">
        <w:t>Pēc iepazīšanās ar informāciju par tiesnešu 2023.</w:t>
      </w:r>
      <w:r w:rsidR="00713FBA">
        <w:t> </w:t>
      </w:r>
      <w:r w:rsidRPr="0027508E">
        <w:t xml:space="preserve">gada otrajā pusgadā izdarītiem administratīviem pārkāpumiem Tiesnešu ētikas komisija konstatēja, ka tiesnesis </w:t>
      </w:r>
      <w:r>
        <w:t>ir ticis sodīts par tr</w:t>
      </w:r>
      <w:r w:rsidR="00DA5FED">
        <w:t>īs</w:t>
      </w:r>
      <w:r>
        <w:t xml:space="preserve"> administratīvo pārkāpumu izdarīšanu: </w:t>
      </w:r>
    </w:p>
    <w:p w14:paraId="3CBAD04E" w14:textId="0826A108" w:rsidR="00DA5FED" w:rsidRPr="00054AD9" w:rsidRDefault="00DA5FED" w:rsidP="00DA5FED">
      <w:pPr>
        <w:pStyle w:val="Bezatstarpm"/>
        <w:spacing w:line="276" w:lineRule="auto"/>
        <w:ind w:firstLine="567"/>
        <w:jc w:val="both"/>
        <w:rPr>
          <w:rFonts w:ascii="Times New Roman" w:eastAsia="SimSun" w:hAnsi="Times New Roman" w:cs="Arial"/>
          <w:kern w:val="3"/>
          <w:sz w:val="24"/>
          <w:szCs w:val="24"/>
          <w:lang w:eastAsia="zh-CN" w:bidi="hi-IN"/>
          <w14:ligatures w14:val="none"/>
        </w:rPr>
      </w:pPr>
      <w:r w:rsidRPr="00054AD9">
        <w:rPr>
          <w:rFonts w:ascii="Times New Roman" w:eastAsia="SimSun" w:hAnsi="Times New Roman" w:cs="Arial"/>
          <w:kern w:val="3"/>
          <w:sz w:val="24"/>
          <w:szCs w:val="24"/>
          <w:lang w:eastAsia="zh-CN" w:bidi="hi-IN"/>
          <w14:ligatures w14:val="none"/>
        </w:rPr>
        <w:t>1)</w:t>
      </w:r>
      <w:r w:rsidR="0027508E" w:rsidRPr="00054AD9">
        <w:rPr>
          <w:rFonts w:ascii="Times New Roman" w:eastAsia="SimSun" w:hAnsi="Times New Roman" w:cs="Arial"/>
          <w:kern w:val="3"/>
          <w:sz w:val="24"/>
          <w:szCs w:val="24"/>
          <w:lang w:eastAsia="zh-CN" w:bidi="hi-IN"/>
          <w14:ligatures w14:val="none"/>
        </w:rPr>
        <w:t xml:space="preserve"> </w:t>
      </w:r>
      <w:r w:rsidRPr="00054AD9">
        <w:rPr>
          <w:rFonts w:ascii="Times New Roman" w:eastAsia="SimSun" w:hAnsi="Times New Roman" w:cs="Arial"/>
          <w:kern w:val="3"/>
          <w:sz w:val="24"/>
          <w:szCs w:val="24"/>
          <w:lang w:eastAsia="zh-CN" w:bidi="hi-IN"/>
          <w14:ligatures w14:val="none"/>
        </w:rPr>
        <w:t>2023.</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gada 12.</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oktobrī piemērots administratīvais sods par Ceļu satiksmes likuma 53.</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panta divpadsmitajā daļā paredzētā pārkāpuma izdarīšanu – par ceļu satiksmes drošības nenodrošināšanu, braucot atpakaļgaitā, proti,</w:t>
      </w:r>
      <w:r w:rsidR="00AB2653" w:rsidRPr="00054AD9">
        <w:rPr>
          <w:rFonts w:ascii="Times New Roman" w:eastAsia="SimSun" w:hAnsi="Times New Roman" w:cs="Arial"/>
          <w:kern w:val="3"/>
          <w:sz w:val="24"/>
          <w:szCs w:val="24"/>
          <w:lang w:eastAsia="zh-CN" w:bidi="hi-IN"/>
          <w14:ligatures w14:val="none"/>
        </w:rPr>
        <w:t xml:space="preserve"> </w:t>
      </w:r>
      <w:r w:rsidRPr="00054AD9">
        <w:rPr>
          <w:rFonts w:ascii="Times New Roman" w:eastAsia="SimSun" w:hAnsi="Times New Roman" w:cs="Arial"/>
          <w:kern w:val="3"/>
          <w:sz w:val="24"/>
          <w:szCs w:val="24"/>
          <w:lang w:eastAsia="zh-CN" w:bidi="hi-IN"/>
          <w14:ligatures w14:val="none"/>
        </w:rPr>
        <w:t>tiesnesis</w:t>
      </w:r>
      <w:r w:rsidR="00AB2653" w:rsidRPr="00054AD9">
        <w:rPr>
          <w:rFonts w:ascii="Times New Roman" w:eastAsia="SimSun" w:hAnsi="Times New Roman" w:cs="Arial"/>
          <w:kern w:val="3"/>
          <w:sz w:val="24"/>
          <w:szCs w:val="24"/>
          <w:lang w:eastAsia="zh-CN" w:bidi="hi-IN"/>
          <w14:ligatures w14:val="none"/>
        </w:rPr>
        <w:t>,</w:t>
      </w:r>
      <w:r w:rsidRPr="00054AD9">
        <w:rPr>
          <w:rFonts w:ascii="Times New Roman" w:eastAsia="SimSun" w:hAnsi="Times New Roman" w:cs="Arial"/>
          <w:kern w:val="3"/>
          <w:sz w:val="24"/>
          <w:szCs w:val="24"/>
          <w:lang w:eastAsia="zh-CN" w:bidi="hi-IN"/>
          <w14:ligatures w14:val="none"/>
        </w:rPr>
        <w:t xml:space="preserve"> stāvlaukumā veicot atpakaļgaitas manevru, uzbraucis stāvēšanai novietotam transportlīdzeklim;</w:t>
      </w:r>
    </w:p>
    <w:p w14:paraId="30D0D7B8" w14:textId="4CFC658E" w:rsidR="00DA5FED" w:rsidRPr="00054AD9" w:rsidRDefault="00DA5FED" w:rsidP="00DA5FED">
      <w:pPr>
        <w:pStyle w:val="Bezatstarpm"/>
        <w:spacing w:line="276" w:lineRule="auto"/>
        <w:ind w:firstLine="567"/>
        <w:jc w:val="both"/>
        <w:rPr>
          <w:rFonts w:ascii="Times New Roman" w:eastAsia="SimSun" w:hAnsi="Times New Roman" w:cs="Arial"/>
          <w:kern w:val="3"/>
          <w:sz w:val="24"/>
          <w:szCs w:val="24"/>
          <w:lang w:eastAsia="zh-CN" w:bidi="hi-IN"/>
          <w14:ligatures w14:val="none"/>
        </w:rPr>
      </w:pPr>
      <w:r w:rsidRPr="00054AD9">
        <w:rPr>
          <w:rFonts w:ascii="Times New Roman" w:eastAsia="SimSun" w:hAnsi="Times New Roman" w:cs="Arial"/>
          <w:kern w:val="3"/>
          <w:sz w:val="24"/>
          <w:szCs w:val="24"/>
          <w:lang w:eastAsia="zh-CN" w:bidi="hi-IN"/>
          <w14:ligatures w14:val="none"/>
        </w:rPr>
        <w:t>2) 2023.</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gada 12.</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oktobrī piemērots administratīvais sods par Ceļu satiksmes likuma 63.panta piektajā daļā paredzētā pārkāpuma izdarīšanu – par ceļu satiksmes negadījuma vietas atstāšanu pēc ceļu satiksmes negadījuma;</w:t>
      </w:r>
    </w:p>
    <w:p w14:paraId="6B479397" w14:textId="2B75EDA6" w:rsidR="00DA5FED" w:rsidRPr="00054AD9" w:rsidRDefault="00DA5FED" w:rsidP="00DA5FED">
      <w:pPr>
        <w:pStyle w:val="Bezatstarpm"/>
        <w:spacing w:line="276" w:lineRule="auto"/>
        <w:ind w:firstLine="567"/>
        <w:jc w:val="both"/>
        <w:rPr>
          <w:rFonts w:ascii="Times New Roman" w:eastAsia="SimSun" w:hAnsi="Times New Roman" w:cs="Arial"/>
          <w:kern w:val="3"/>
          <w:sz w:val="24"/>
          <w:szCs w:val="24"/>
          <w:lang w:eastAsia="zh-CN" w:bidi="hi-IN"/>
          <w14:ligatures w14:val="none"/>
        </w:rPr>
      </w:pPr>
      <w:r w:rsidRPr="00054AD9">
        <w:rPr>
          <w:rFonts w:ascii="Times New Roman" w:eastAsia="SimSun" w:hAnsi="Times New Roman" w:cs="Arial"/>
          <w:kern w:val="3"/>
          <w:sz w:val="24"/>
          <w:szCs w:val="24"/>
          <w:lang w:eastAsia="zh-CN" w:bidi="hi-IN"/>
          <w14:ligatures w14:val="none"/>
        </w:rPr>
        <w:t>3) 2023.</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gada 30.</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novembrī piemērots administratīvais sods par Ceļu satiksmes likuma 62.</w:t>
      </w:r>
      <w:r w:rsidR="00713FBA" w:rsidRPr="00054AD9">
        <w:rPr>
          <w:rFonts w:ascii="Times New Roman" w:eastAsia="SimSun" w:hAnsi="Times New Roman" w:cs="Arial"/>
          <w:kern w:val="3"/>
          <w:sz w:val="24"/>
          <w:szCs w:val="24"/>
          <w:lang w:eastAsia="zh-CN" w:bidi="hi-IN"/>
          <w14:ligatures w14:val="none"/>
        </w:rPr>
        <w:t> </w:t>
      </w:r>
      <w:r w:rsidRPr="00054AD9">
        <w:rPr>
          <w:rFonts w:ascii="Times New Roman" w:eastAsia="SimSun" w:hAnsi="Times New Roman" w:cs="Arial"/>
          <w:kern w:val="3"/>
          <w:sz w:val="24"/>
          <w:szCs w:val="24"/>
          <w:lang w:eastAsia="zh-CN" w:bidi="hi-IN"/>
          <w14:ligatures w14:val="none"/>
        </w:rPr>
        <w:t>panta septītajā daļā paredzētā pārkāpuma izdarīšanu – par alkoholisko dzērienu lietošanu pēc ceļu satiksmes negadījuma.</w:t>
      </w:r>
    </w:p>
    <w:p w14:paraId="3D634D0A" w14:textId="2EE137C0" w:rsidR="00DA5FED" w:rsidRPr="00054AD9" w:rsidRDefault="00712A88" w:rsidP="00DA5FED">
      <w:pPr>
        <w:pStyle w:val="Bezatstarpm"/>
        <w:spacing w:line="276" w:lineRule="auto"/>
        <w:ind w:firstLine="567"/>
        <w:jc w:val="both"/>
        <w:rPr>
          <w:rFonts w:ascii="Times New Roman" w:eastAsia="SimSun" w:hAnsi="Times New Roman" w:cs="Arial"/>
          <w:kern w:val="3"/>
          <w:sz w:val="24"/>
          <w:szCs w:val="24"/>
          <w:lang w:eastAsia="zh-CN" w:bidi="hi-IN"/>
          <w14:ligatures w14:val="none"/>
        </w:rPr>
      </w:pPr>
      <w:r w:rsidRPr="00054AD9">
        <w:rPr>
          <w:rFonts w:ascii="Times New Roman" w:eastAsia="SimSun" w:hAnsi="Times New Roman" w:cs="Arial"/>
          <w:kern w:val="3"/>
          <w:sz w:val="24"/>
          <w:szCs w:val="24"/>
          <w:lang w:eastAsia="zh-CN" w:bidi="hi-IN"/>
          <w14:ligatures w14:val="none"/>
        </w:rPr>
        <w:t xml:space="preserve">Lēmumi par administratīvo sodu piemērošanu ir stājušies spēkā.  </w:t>
      </w:r>
    </w:p>
    <w:p w14:paraId="29132841" w14:textId="77777777" w:rsidR="00712A88" w:rsidRPr="002D53D8" w:rsidRDefault="00712A88" w:rsidP="00DA5FED">
      <w:pPr>
        <w:pStyle w:val="Bezatstarpm"/>
        <w:spacing w:line="276" w:lineRule="auto"/>
        <w:ind w:firstLine="567"/>
        <w:jc w:val="both"/>
        <w:rPr>
          <w:rFonts w:ascii="Times New Roman" w:hAnsi="Times New Roman" w:cs="Times New Roman"/>
          <w:w w:val="104"/>
          <w:sz w:val="24"/>
          <w:szCs w:val="24"/>
        </w:rPr>
      </w:pPr>
    </w:p>
    <w:p w14:paraId="147D9CE2" w14:textId="0FC64B9A" w:rsidR="00DA5FED" w:rsidRDefault="00DA5FED" w:rsidP="00F45EE8">
      <w:pPr>
        <w:pStyle w:val="Bezatstarpm"/>
        <w:spacing w:line="276" w:lineRule="auto"/>
        <w:ind w:firstLine="567"/>
        <w:jc w:val="both"/>
        <w:rPr>
          <w:rFonts w:ascii="Times New Roman" w:hAnsi="Times New Roman" w:cs="Times New Roman"/>
          <w:w w:val="104"/>
          <w:sz w:val="24"/>
          <w:szCs w:val="24"/>
        </w:rPr>
      </w:pPr>
      <w:r>
        <w:rPr>
          <w:rFonts w:ascii="Times New Roman" w:hAnsi="Times New Roman" w:cs="Times New Roman"/>
          <w:w w:val="104"/>
          <w:sz w:val="24"/>
          <w:szCs w:val="24"/>
        </w:rPr>
        <w:t xml:space="preserve">[2] Tiesnesis sniedzis rakstisku </w:t>
      </w:r>
      <w:r w:rsidR="00A013E7">
        <w:rPr>
          <w:rFonts w:ascii="Times New Roman" w:hAnsi="Times New Roman" w:cs="Times New Roman"/>
          <w:w w:val="104"/>
          <w:sz w:val="24"/>
          <w:szCs w:val="24"/>
        </w:rPr>
        <w:t>informācij</w:t>
      </w:r>
      <w:r>
        <w:rPr>
          <w:rFonts w:ascii="Times New Roman" w:hAnsi="Times New Roman" w:cs="Times New Roman"/>
          <w:w w:val="104"/>
          <w:sz w:val="24"/>
          <w:szCs w:val="24"/>
        </w:rPr>
        <w:t>u par notikuma apstākļiem, norādot, ka</w:t>
      </w:r>
      <w:r w:rsidR="00F45EE8">
        <w:rPr>
          <w:rFonts w:ascii="Times New Roman" w:hAnsi="Times New Roman" w:cs="Times New Roman"/>
          <w:w w:val="104"/>
          <w:sz w:val="24"/>
          <w:szCs w:val="24"/>
        </w:rPr>
        <w:t xml:space="preserve"> </w:t>
      </w:r>
      <w:r w:rsidR="00A013E7">
        <w:rPr>
          <w:rFonts w:ascii="Times New Roman" w:hAnsi="Times New Roman" w:cs="Times New Roman"/>
          <w:w w:val="104"/>
          <w:sz w:val="24"/>
          <w:szCs w:val="24"/>
        </w:rPr>
        <w:t xml:space="preserve">automašīnu </w:t>
      </w:r>
      <w:r>
        <w:rPr>
          <w:rFonts w:ascii="Times New Roman" w:hAnsi="Times New Roman" w:cs="Times New Roman"/>
          <w:w w:val="104"/>
          <w:sz w:val="24"/>
          <w:szCs w:val="24"/>
        </w:rPr>
        <w:t xml:space="preserve">sadursmi nav jutis. </w:t>
      </w:r>
      <w:r w:rsidR="00A013E7">
        <w:rPr>
          <w:rFonts w:ascii="Times New Roman" w:hAnsi="Times New Roman" w:cs="Times New Roman"/>
          <w:w w:val="104"/>
          <w:sz w:val="24"/>
          <w:szCs w:val="24"/>
        </w:rPr>
        <w:t>A</w:t>
      </w:r>
      <w:r>
        <w:rPr>
          <w:rFonts w:ascii="Times New Roman" w:hAnsi="Times New Roman" w:cs="Times New Roman"/>
          <w:w w:val="104"/>
          <w:sz w:val="24"/>
          <w:szCs w:val="24"/>
        </w:rPr>
        <w:t>tgri</w:t>
      </w:r>
      <w:r w:rsidR="00A013E7">
        <w:rPr>
          <w:rFonts w:ascii="Times New Roman" w:hAnsi="Times New Roman" w:cs="Times New Roman"/>
          <w:w w:val="104"/>
          <w:sz w:val="24"/>
          <w:szCs w:val="24"/>
        </w:rPr>
        <w:t>ežot</w:t>
      </w:r>
      <w:r>
        <w:rPr>
          <w:rFonts w:ascii="Times New Roman" w:hAnsi="Times New Roman" w:cs="Times New Roman"/>
          <w:w w:val="104"/>
          <w:sz w:val="24"/>
          <w:szCs w:val="24"/>
        </w:rPr>
        <w:t xml:space="preserve">ies mājās, </w:t>
      </w:r>
      <w:r w:rsidR="00A013E7">
        <w:rPr>
          <w:rFonts w:ascii="Times New Roman" w:hAnsi="Times New Roman" w:cs="Times New Roman"/>
          <w:w w:val="104"/>
          <w:sz w:val="24"/>
          <w:szCs w:val="24"/>
        </w:rPr>
        <w:t>nav pamanījis automašīnai radušos bojājumus</w:t>
      </w:r>
      <w:r>
        <w:rPr>
          <w:rFonts w:ascii="Times New Roman" w:hAnsi="Times New Roman" w:cs="Times New Roman"/>
          <w:w w:val="104"/>
          <w:sz w:val="24"/>
          <w:szCs w:val="24"/>
        </w:rPr>
        <w:t>.</w:t>
      </w:r>
    </w:p>
    <w:p w14:paraId="5A300B54" w14:textId="26D839B0" w:rsidR="006A6C98" w:rsidRPr="00A013E7" w:rsidRDefault="00A013E7" w:rsidP="009F1ACD">
      <w:pPr>
        <w:pStyle w:val="Bezatstarpm"/>
        <w:spacing w:line="276" w:lineRule="auto"/>
        <w:ind w:firstLine="567"/>
        <w:jc w:val="both"/>
        <w:rPr>
          <w:rFonts w:ascii="Times New Roman" w:hAnsi="Times New Roman" w:cs="Times New Roman"/>
          <w:sz w:val="24"/>
          <w:szCs w:val="24"/>
        </w:rPr>
      </w:pPr>
      <w:r w:rsidRPr="00A013E7">
        <w:rPr>
          <w:rFonts w:ascii="Times New Roman" w:hAnsi="Times New Roman" w:cs="Times New Roman"/>
          <w:sz w:val="24"/>
          <w:szCs w:val="24"/>
        </w:rPr>
        <w:t xml:space="preserve">Notikuma dienas pēcpusdienā mājas svinībās tiesnesis lietojis alkoholiskos dzērienus. Policijas veiktie </w:t>
      </w:r>
      <w:r>
        <w:rPr>
          <w:rFonts w:ascii="Times New Roman" w:hAnsi="Times New Roman" w:cs="Times New Roman"/>
          <w:sz w:val="24"/>
          <w:szCs w:val="24"/>
        </w:rPr>
        <w:t xml:space="preserve">alkohola reibuma </w:t>
      </w:r>
      <w:r w:rsidRPr="00A013E7">
        <w:rPr>
          <w:rFonts w:ascii="Times New Roman" w:hAnsi="Times New Roman" w:cs="Times New Roman"/>
          <w:sz w:val="24"/>
          <w:szCs w:val="24"/>
        </w:rPr>
        <w:t>mērījumi izdarīti piecas stundas pēc ceļu satiksmes negadījuma. Tā kā tiesnesis n</w:t>
      </w:r>
      <w:r>
        <w:rPr>
          <w:rFonts w:ascii="Times New Roman" w:hAnsi="Times New Roman" w:cs="Times New Roman"/>
          <w:sz w:val="24"/>
          <w:szCs w:val="24"/>
        </w:rPr>
        <w:t xml:space="preserve">av </w:t>
      </w:r>
      <w:r w:rsidRPr="00A013E7">
        <w:rPr>
          <w:rFonts w:ascii="Times New Roman" w:hAnsi="Times New Roman" w:cs="Times New Roman"/>
          <w:sz w:val="24"/>
          <w:szCs w:val="24"/>
        </w:rPr>
        <w:t>manī</w:t>
      </w:r>
      <w:r>
        <w:rPr>
          <w:rFonts w:ascii="Times New Roman" w:hAnsi="Times New Roman" w:cs="Times New Roman"/>
          <w:sz w:val="24"/>
          <w:szCs w:val="24"/>
        </w:rPr>
        <w:t>jis</w:t>
      </w:r>
      <w:r w:rsidRPr="00A013E7">
        <w:rPr>
          <w:rFonts w:ascii="Times New Roman" w:hAnsi="Times New Roman" w:cs="Times New Roman"/>
          <w:sz w:val="24"/>
          <w:szCs w:val="24"/>
        </w:rPr>
        <w:t xml:space="preserve"> </w:t>
      </w:r>
      <w:r>
        <w:rPr>
          <w:rFonts w:ascii="Times New Roman" w:hAnsi="Times New Roman" w:cs="Times New Roman"/>
          <w:sz w:val="24"/>
          <w:szCs w:val="24"/>
        </w:rPr>
        <w:t xml:space="preserve">automašīnu </w:t>
      </w:r>
      <w:r w:rsidRPr="00A013E7">
        <w:rPr>
          <w:rFonts w:ascii="Times New Roman" w:hAnsi="Times New Roman" w:cs="Times New Roman"/>
          <w:sz w:val="24"/>
          <w:szCs w:val="24"/>
        </w:rPr>
        <w:t>sadursmi</w:t>
      </w:r>
      <w:r w:rsidR="009F1ACD" w:rsidRPr="009F1ACD">
        <w:rPr>
          <w:rFonts w:ascii="Times New Roman" w:hAnsi="Times New Roman" w:cs="Times New Roman"/>
          <w:w w:val="104"/>
          <w:sz w:val="24"/>
          <w:szCs w:val="24"/>
        </w:rPr>
        <w:t xml:space="preserve"> </w:t>
      </w:r>
      <w:r w:rsidR="009F1ACD">
        <w:rPr>
          <w:rFonts w:ascii="Times New Roman" w:hAnsi="Times New Roman" w:cs="Times New Roman"/>
          <w:w w:val="104"/>
          <w:sz w:val="24"/>
          <w:szCs w:val="24"/>
        </w:rPr>
        <w:t xml:space="preserve">un nav apzināti pametis ceļu satiksmes negadījuma vietu, </w:t>
      </w:r>
      <w:r w:rsidRPr="00A013E7">
        <w:rPr>
          <w:rFonts w:ascii="Times New Roman" w:hAnsi="Times New Roman" w:cs="Times New Roman"/>
          <w:sz w:val="24"/>
          <w:szCs w:val="24"/>
        </w:rPr>
        <w:t>viņam bij</w:t>
      </w:r>
      <w:r>
        <w:rPr>
          <w:rFonts w:ascii="Times New Roman" w:hAnsi="Times New Roman" w:cs="Times New Roman"/>
          <w:sz w:val="24"/>
          <w:szCs w:val="24"/>
        </w:rPr>
        <w:t>usi</w:t>
      </w:r>
      <w:r w:rsidRPr="00A013E7">
        <w:rPr>
          <w:rFonts w:ascii="Times New Roman" w:hAnsi="Times New Roman" w:cs="Times New Roman"/>
          <w:sz w:val="24"/>
          <w:szCs w:val="24"/>
        </w:rPr>
        <w:t xml:space="preserve"> pārliecība, ka</w:t>
      </w:r>
      <w:r w:rsidR="009F1ACD">
        <w:rPr>
          <w:rFonts w:ascii="Times New Roman" w:hAnsi="Times New Roman" w:cs="Times New Roman"/>
          <w:sz w:val="24"/>
          <w:szCs w:val="24"/>
        </w:rPr>
        <w:t>,</w:t>
      </w:r>
      <w:r w:rsidR="009F1ACD" w:rsidRPr="009F1ACD">
        <w:rPr>
          <w:rFonts w:ascii="Times New Roman" w:hAnsi="Times New Roman" w:cs="Times New Roman"/>
          <w:sz w:val="24"/>
          <w:szCs w:val="24"/>
        </w:rPr>
        <w:t xml:space="preserve"> </w:t>
      </w:r>
      <w:r w:rsidR="009F1ACD" w:rsidRPr="00A013E7">
        <w:rPr>
          <w:rFonts w:ascii="Times New Roman" w:hAnsi="Times New Roman" w:cs="Times New Roman"/>
          <w:sz w:val="24"/>
          <w:szCs w:val="24"/>
        </w:rPr>
        <w:t>lietojot alkoholiskus dzērienus</w:t>
      </w:r>
      <w:r w:rsidR="009F1ACD">
        <w:rPr>
          <w:rFonts w:ascii="Times New Roman" w:hAnsi="Times New Roman" w:cs="Times New Roman"/>
          <w:sz w:val="24"/>
          <w:szCs w:val="24"/>
        </w:rPr>
        <w:t xml:space="preserve"> pēc darba,</w:t>
      </w:r>
      <w:r w:rsidRPr="00A013E7">
        <w:rPr>
          <w:rFonts w:ascii="Times New Roman" w:hAnsi="Times New Roman" w:cs="Times New Roman"/>
          <w:sz w:val="24"/>
          <w:szCs w:val="24"/>
        </w:rPr>
        <w:t xml:space="preserve"> neizdara administratīvi sodāmu pārkāpumu.</w:t>
      </w:r>
      <w:r>
        <w:rPr>
          <w:rFonts w:ascii="Times New Roman" w:hAnsi="Times New Roman" w:cs="Times New Roman"/>
          <w:sz w:val="24"/>
          <w:szCs w:val="24"/>
        </w:rPr>
        <w:t xml:space="preserve"> </w:t>
      </w:r>
    </w:p>
    <w:p w14:paraId="4E8417E2" w14:textId="704AED72" w:rsidR="006A6C98" w:rsidRDefault="00A013E7" w:rsidP="00712A88">
      <w:pPr>
        <w:pStyle w:val="Bezatstarpm"/>
        <w:spacing w:line="276" w:lineRule="auto"/>
        <w:ind w:firstLine="567"/>
        <w:jc w:val="both"/>
        <w:rPr>
          <w:rFonts w:ascii="Times New Roman" w:hAnsi="Times New Roman" w:cs="Times New Roman"/>
          <w:w w:val="104"/>
          <w:sz w:val="24"/>
          <w:szCs w:val="24"/>
        </w:rPr>
      </w:pPr>
      <w:r>
        <w:rPr>
          <w:rFonts w:ascii="Times New Roman" w:hAnsi="Times New Roman" w:cs="Times New Roman"/>
          <w:w w:val="104"/>
          <w:sz w:val="24"/>
          <w:szCs w:val="24"/>
        </w:rPr>
        <w:t>Līdzīgu notikumu izklāstu</w:t>
      </w:r>
      <w:r w:rsidR="00F45EE8">
        <w:rPr>
          <w:rFonts w:ascii="Times New Roman" w:hAnsi="Times New Roman" w:cs="Times New Roman"/>
          <w:w w:val="104"/>
          <w:sz w:val="24"/>
          <w:szCs w:val="24"/>
        </w:rPr>
        <w:t xml:space="preserve"> tiesnesis sniedza</w:t>
      </w:r>
      <w:r>
        <w:rPr>
          <w:rFonts w:ascii="Times New Roman" w:hAnsi="Times New Roman" w:cs="Times New Roman"/>
          <w:w w:val="104"/>
          <w:sz w:val="24"/>
          <w:szCs w:val="24"/>
        </w:rPr>
        <w:t xml:space="preserve"> arī</w:t>
      </w:r>
      <w:r w:rsidR="00F45EE8">
        <w:rPr>
          <w:rFonts w:ascii="Times New Roman" w:hAnsi="Times New Roman" w:cs="Times New Roman"/>
          <w:w w:val="104"/>
          <w:sz w:val="24"/>
          <w:szCs w:val="24"/>
        </w:rPr>
        <w:t xml:space="preserve"> </w:t>
      </w:r>
      <w:r w:rsidR="006A6C98">
        <w:rPr>
          <w:rFonts w:ascii="Times New Roman" w:hAnsi="Times New Roman" w:cs="Times New Roman"/>
          <w:w w:val="104"/>
          <w:sz w:val="24"/>
          <w:szCs w:val="24"/>
        </w:rPr>
        <w:t xml:space="preserve">Tiesnešu </w:t>
      </w:r>
      <w:r w:rsidR="00F45EE8">
        <w:rPr>
          <w:rFonts w:ascii="Times New Roman" w:hAnsi="Times New Roman" w:cs="Times New Roman"/>
          <w:w w:val="104"/>
          <w:sz w:val="24"/>
          <w:szCs w:val="24"/>
        </w:rPr>
        <w:t>ētikas komisijas sēdē</w:t>
      </w:r>
      <w:r w:rsidR="006A6C98">
        <w:rPr>
          <w:rFonts w:ascii="Times New Roman" w:hAnsi="Times New Roman" w:cs="Times New Roman"/>
          <w:w w:val="104"/>
          <w:sz w:val="24"/>
          <w:szCs w:val="24"/>
        </w:rPr>
        <w:t>, uzsverot</w:t>
      </w:r>
      <w:r w:rsidR="00F45EE8">
        <w:rPr>
          <w:rFonts w:ascii="Times New Roman" w:hAnsi="Times New Roman" w:cs="Times New Roman"/>
          <w:w w:val="104"/>
          <w:sz w:val="24"/>
          <w:szCs w:val="24"/>
        </w:rPr>
        <w:t xml:space="preserve">, ka </w:t>
      </w:r>
      <w:r w:rsidR="006A6C98">
        <w:rPr>
          <w:rFonts w:ascii="Times New Roman" w:hAnsi="Times New Roman" w:cs="Times New Roman"/>
          <w:w w:val="104"/>
          <w:sz w:val="24"/>
          <w:szCs w:val="24"/>
        </w:rPr>
        <w:t xml:space="preserve">nav sajutis </w:t>
      </w:r>
      <w:r>
        <w:rPr>
          <w:rFonts w:ascii="Times New Roman" w:hAnsi="Times New Roman" w:cs="Times New Roman"/>
          <w:w w:val="104"/>
          <w:sz w:val="24"/>
          <w:szCs w:val="24"/>
        </w:rPr>
        <w:t xml:space="preserve">automašīnu </w:t>
      </w:r>
      <w:r w:rsidR="00F45EE8">
        <w:rPr>
          <w:rFonts w:ascii="Times New Roman" w:hAnsi="Times New Roman" w:cs="Times New Roman"/>
          <w:w w:val="104"/>
          <w:sz w:val="24"/>
          <w:szCs w:val="24"/>
        </w:rPr>
        <w:t>sadursmi</w:t>
      </w:r>
      <w:r w:rsidR="006A6C98">
        <w:rPr>
          <w:rFonts w:ascii="Times New Roman" w:hAnsi="Times New Roman" w:cs="Times New Roman"/>
          <w:w w:val="104"/>
          <w:sz w:val="24"/>
          <w:szCs w:val="24"/>
        </w:rPr>
        <w:t>, p</w:t>
      </w:r>
      <w:r w:rsidR="00F45EE8">
        <w:rPr>
          <w:rFonts w:ascii="Times New Roman" w:hAnsi="Times New Roman" w:cs="Times New Roman"/>
          <w:w w:val="104"/>
          <w:sz w:val="24"/>
          <w:szCs w:val="24"/>
        </w:rPr>
        <w:t xml:space="preserve">retējā gadījumā noteikti nebūtu aizbraucis no negadījuma vietas.  </w:t>
      </w:r>
    </w:p>
    <w:p w14:paraId="7205020B" w14:textId="77777777" w:rsidR="006A6C98" w:rsidRDefault="006A6C98" w:rsidP="006A6C98">
      <w:pPr>
        <w:pStyle w:val="Bezatstarpm"/>
        <w:spacing w:line="276" w:lineRule="auto"/>
        <w:ind w:firstLine="567"/>
        <w:jc w:val="both"/>
        <w:rPr>
          <w:rFonts w:ascii="Times New Roman" w:hAnsi="Times New Roman" w:cs="Times New Roman"/>
          <w:w w:val="104"/>
          <w:sz w:val="24"/>
          <w:szCs w:val="24"/>
        </w:rPr>
      </w:pPr>
    </w:p>
    <w:p w14:paraId="7228C312" w14:textId="5029E21D" w:rsidR="00712A88" w:rsidRDefault="006A6C98" w:rsidP="00712A88">
      <w:pPr>
        <w:pStyle w:val="Standard"/>
        <w:spacing w:line="276" w:lineRule="auto"/>
        <w:ind w:firstLine="567"/>
        <w:jc w:val="both"/>
      </w:pPr>
      <w:r>
        <w:t>[</w:t>
      </w:r>
      <w:r w:rsidR="00712A88">
        <w:t>3</w:t>
      </w:r>
      <w:r>
        <w:t>] Saskaņā ar likuma “Par tiesu varu” 91.</w:t>
      </w:r>
      <w:r>
        <w:rPr>
          <w:vertAlign w:val="superscript"/>
        </w:rPr>
        <w:t>2</w:t>
      </w:r>
      <w:r>
        <w:t xml:space="preserve"> panta 4. punktu Tiesnešu ētikas komisija apspriež ētikas normu pārkāpumus un sniedz atzinumus par ētikas normu interpretāciju un pārkāpumiem. Tādēļ komisija vērtē, vai tiesneša rīcībā ir konstatējams ētikas normu pārkāpums un, ja ir konstatējams, vai pārkāpums ir rupjš un ir ierosināma </w:t>
      </w:r>
      <w:r>
        <w:lastRenderedPageBreak/>
        <w:t>disciplinārlieta.</w:t>
      </w:r>
    </w:p>
    <w:p w14:paraId="614AA47B" w14:textId="4E4CC4DA" w:rsidR="003E1664" w:rsidRDefault="003E1664" w:rsidP="00712A88">
      <w:pPr>
        <w:pStyle w:val="Standard"/>
        <w:spacing w:line="276" w:lineRule="auto"/>
        <w:ind w:firstLine="567"/>
        <w:jc w:val="both"/>
      </w:pPr>
      <w:r w:rsidRPr="003E1664">
        <w:t>Izvērtējusi Tiesnešu ētikas komisijas rīcībā esošos materiālus un tiesne</w:t>
      </w:r>
      <w:r>
        <w:t>ša</w:t>
      </w:r>
      <w:r w:rsidRPr="003E1664">
        <w:t xml:space="preserve"> paskaidrojumus, komisija atzīst, ka tiesne</w:t>
      </w:r>
      <w:r>
        <w:t>ša</w:t>
      </w:r>
      <w:r w:rsidRPr="003E1664">
        <w:t xml:space="preserve"> rīcībā ir konstatējams rupjš ētikas normu pārkāpums. </w:t>
      </w:r>
    </w:p>
    <w:p w14:paraId="5392C957" w14:textId="2C5AB891" w:rsidR="006A6C98" w:rsidRPr="00226B69" w:rsidRDefault="00226B69" w:rsidP="00226B69">
      <w:pPr>
        <w:pStyle w:val="Standard"/>
        <w:spacing w:line="276" w:lineRule="auto"/>
        <w:ind w:firstLine="567"/>
        <w:jc w:val="both"/>
      </w:pPr>
      <w:r w:rsidRPr="00226B69">
        <w:t xml:space="preserve"> </w:t>
      </w:r>
      <w:r>
        <w:t xml:space="preserve"> </w:t>
      </w:r>
    </w:p>
    <w:p w14:paraId="79070A98" w14:textId="77777777" w:rsidR="009F1ACD" w:rsidRDefault="003E1664" w:rsidP="002B2AB3">
      <w:pPr>
        <w:pStyle w:val="Standard"/>
        <w:spacing w:line="276" w:lineRule="auto"/>
        <w:ind w:firstLine="567"/>
        <w:jc w:val="both"/>
      </w:pPr>
      <w:r>
        <w:t>[</w:t>
      </w:r>
      <w:r w:rsidR="00712A88">
        <w:t>4</w:t>
      </w:r>
      <w:r>
        <w:t xml:space="preserve">] </w:t>
      </w:r>
      <w:r w:rsidR="00226B69">
        <w:t>T</w:t>
      </w:r>
      <w:r>
        <w:t>iesnešu ētikas kodeksa 2. kanona 1. punkts noteic, ka tiesnesis ciena un ievēro likumu, godprātīgi un ar cieņu attiecas pret savu amatu, amata pienākumiem, procesa dalībniekiem, kolēģiem un sabiedrību kopumā.</w:t>
      </w:r>
      <w:r w:rsidR="002B2AB3">
        <w:t xml:space="preserve"> </w:t>
      </w:r>
    </w:p>
    <w:p w14:paraId="4AA1E375" w14:textId="71D44FD1" w:rsidR="003E1664" w:rsidRDefault="00226B69" w:rsidP="002B2AB3">
      <w:pPr>
        <w:pStyle w:val="Standard"/>
        <w:spacing w:line="276" w:lineRule="auto"/>
        <w:ind w:firstLine="567"/>
        <w:jc w:val="both"/>
      </w:pPr>
      <w:r>
        <w:t>K</w:t>
      </w:r>
      <w:r w:rsidR="003E1664">
        <w:t>anona 2. punktā noteikts, ka tiesnesis, gan veicot</w:t>
      </w:r>
      <w:r>
        <w:t xml:space="preserve"> </w:t>
      </w:r>
      <w:r w:rsidR="003E1664">
        <w:t>amata pienākumus, gan darbojoties ārpus tiem, rīkojas tā, lai ve</w:t>
      </w:r>
      <w:r>
        <w:t>i</w:t>
      </w:r>
      <w:r w:rsidR="003E1664">
        <w:t>cinātu sabiedrības uzticēšanos tiesu varai.</w:t>
      </w:r>
    </w:p>
    <w:p w14:paraId="01159A78" w14:textId="71162936" w:rsidR="00EC2A31" w:rsidRDefault="00226B69" w:rsidP="00EC2A31">
      <w:pPr>
        <w:pStyle w:val="Standard"/>
        <w:spacing w:line="276" w:lineRule="auto"/>
        <w:ind w:firstLine="567"/>
        <w:jc w:val="both"/>
      </w:pPr>
      <w:r>
        <w:t>Tiesnešu ētikas k</w:t>
      </w:r>
      <w:r w:rsidR="00EC2A31">
        <w:t>odeksa 5. kanonā noteikts, ka tiesneša uzvedībai visā savā darbībā jābūt tādai, lai stiprinātu tiesu varas autoritāti. Kanona 1.punkts noteic, ka tiesnesis ir pakļauts pastāvīgai sabiedrības uzmanībai, tādēļ viņam jāpieņem tādi uzvedības ierobežojum</w:t>
      </w:r>
      <w:r w:rsidR="007F36C6">
        <w:t>i</w:t>
      </w:r>
      <w:r w:rsidR="00EC2A31">
        <w:t xml:space="preserve">, kas jebkurai personai varētu šķist apgrūtinoši. Aizliegums neatbilstoši uzvesties attiecas gan uz tiesneša profesionālo darbību, gan privāto dzīvi. </w:t>
      </w:r>
    </w:p>
    <w:p w14:paraId="42562C4D" w14:textId="05E8CF57" w:rsidR="00EC2A31" w:rsidRDefault="00EC2A31" w:rsidP="009F1ACD">
      <w:pPr>
        <w:pStyle w:val="Standard"/>
        <w:spacing w:line="276" w:lineRule="auto"/>
        <w:ind w:firstLine="567"/>
        <w:jc w:val="both"/>
      </w:pPr>
      <w:r>
        <w:t xml:space="preserve">ANO Ekonomisko un sociālo lietu padomes Tiesnešu uzvedības </w:t>
      </w:r>
      <w:proofErr w:type="spellStart"/>
      <w:r>
        <w:t>Bangaloras</w:t>
      </w:r>
      <w:proofErr w:type="spellEnd"/>
      <w:r>
        <w:t xml:space="preserve"> principu 4.2. punktā norādīts, ka tiesnesis ir pakļauts pastāvīgai sabiedrības uzmanībai, tādēļ viņam jāizturas tā, lai nedarītu kaunu tiesneša amatam</w:t>
      </w:r>
      <w:r w:rsidR="009F1ACD">
        <w:t xml:space="preserve">, savukārt minēto principu </w:t>
      </w:r>
      <w:r>
        <w:t>komentāru 103. un 108. punktā uzsvērta nepieciešamība tiesnesim ievērot augstus uzvedības standartus arī privātajā dzīvē. Publiski spriedumā nosodot to, ko pats dara privāti, tiesnesis var zaudēt sabiedrības uzticību, kas nenovēršami ietekmē arī sabiedrības uzticību tiesu varai kopumā. Ja tiesnesis pārkāpj tiesību normas, viņš diskreditē tiesneša amatu, veicina necieņu pret tiesībām un grauj sabiedrības uzticību tiesu varai (</w:t>
      </w:r>
      <w:proofErr w:type="spellStart"/>
      <w:r>
        <w:rPr>
          <w:i/>
        </w:rPr>
        <w:t>Commentary</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Bangalore</w:t>
      </w:r>
      <w:proofErr w:type="spellEnd"/>
      <w:r>
        <w:rPr>
          <w:i/>
        </w:rPr>
        <w:t xml:space="preserve">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Judicial</w:t>
      </w:r>
      <w:proofErr w:type="spellEnd"/>
      <w:r>
        <w:rPr>
          <w:i/>
        </w:rPr>
        <w:t xml:space="preserve"> </w:t>
      </w:r>
      <w:proofErr w:type="spellStart"/>
      <w:r>
        <w:rPr>
          <w:i/>
        </w:rPr>
        <w:t>Conduct</w:t>
      </w:r>
      <w:proofErr w:type="spellEnd"/>
      <w:r>
        <w:rPr>
          <w:i/>
        </w:rPr>
        <w:t>, pieejams: www.un.org/ruleoflaw/blog/document/commentary-on-the-bangalore-principles-of-judicial-conduct</w:t>
      </w:r>
      <w:r>
        <w:t xml:space="preserve">). </w:t>
      </w:r>
    </w:p>
    <w:p w14:paraId="5C518EA3" w14:textId="0FDB99DA" w:rsidR="005B21FA" w:rsidRDefault="005B21FA" w:rsidP="005B21FA">
      <w:pPr>
        <w:pStyle w:val="Standard"/>
        <w:spacing w:line="276" w:lineRule="auto"/>
        <w:ind w:firstLine="567"/>
        <w:jc w:val="both"/>
      </w:pPr>
      <w:r>
        <w:t xml:space="preserve">Tiesnešu ētikas komisija </w:t>
      </w:r>
      <w:r w:rsidR="009F1ACD">
        <w:t xml:space="preserve">jau iepriekš </w:t>
      </w:r>
      <w:r>
        <w:t>vairākos atzinumos norādījusi, ka personai, uzņemoties tiesneša pienākumus, ir jāsaprot, ka tās rīcībai arī tajos gadījumos, kas nav saistīti ar tiesas spriešanu, nav vienīgi personisks raksturs. Ikviena tiesneša rīcība sabiedrībai parāda tiesu varas kopumā izpratni par tiesībām un morālām vērtībām (skat.</w:t>
      </w:r>
      <w:r w:rsidR="002B2AB3">
        <w:t>, piemēram,</w:t>
      </w:r>
      <w:r>
        <w:t xml:space="preserve"> </w:t>
      </w:r>
      <w:r w:rsidRPr="003E1664">
        <w:rPr>
          <w:i/>
          <w:iCs/>
        </w:rPr>
        <w:t>Tiesnešu ētikas komisijas 2015. gada 4. septembra un 2021.</w:t>
      </w:r>
      <w:r>
        <w:rPr>
          <w:i/>
          <w:iCs/>
        </w:rPr>
        <w:t> </w:t>
      </w:r>
      <w:r w:rsidRPr="003E1664">
        <w:rPr>
          <w:i/>
          <w:iCs/>
        </w:rPr>
        <w:t>gada 2.</w:t>
      </w:r>
      <w:r>
        <w:rPr>
          <w:i/>
          <w:iCs/>
        </w:rPr>
        <w:t> </w:t>
      </w:r>
      <w:r w:rsidRPr="003E1664">
        <w:rPr>
          <w:i/>
          <w:iCs/>
        </w:rPr>
        <w:t>februāra atzinumu</w:t>
      </w:r>
      <w:r>
        <w:t>).</w:t>
      </w:r>
    </w:p>
    <w:p w14:paraId="727DD86E" w14:textId="77777777" w:rsidR="005B21FA" w:rsidRPr="000A5C01" w:rsidRDefault="005B21FA" w:rsidP="005B21FA">
      <w:pPr>
        <w:pStyle w:val="Standard"/>
        <w:spacing w:line="276" w:lineRule="auto"/>
        <w:ind w:firstLine="567"/>
        <w:jc w:val="both"/>
      </w:pPr>
      <w:r w:rsidRPr="000A5C01">
        <w:t>No tiesnešu ētikas normām un uzvedības principiem izriet, ka tiesnešu ētiskās uzvedības standartiem ir izvirzītas augstākas prasības, nekā citiem sabiedrības locekļiem (skat.</w:t>
      </w:r>
      <w:r w:rsidRPr="000A5C01">
        <w:rPr>
          <w:i/>
        </w:rPr>
        <w:t> Tiesnešu ētikas komisijas 2008. gada 1. augusta atzinumu</w:t>
      </w:r>
      <w:r w:rsidRPr="000A5C01">
        <w:t>).</w:t>
      </w:r>
    </w:p>
    <w:p w14:paraId="60E4E0C1" w14:textId="77777777" w:rsidR="005B21FA" w:rsidRDefault="005B21FA" w:rsidP="005B21FA">
      <w:pPr>
        <w:pStyle w:val="Standard"/>
        <w:spacing w:line="276" w:lineRule="auto"/>
        <w:ind w:firstLine="567"/>
        <w:jc w:val="both"/>
      </w:pPr>
      <w:r>
        <w:t>T</w:t>
      </w:r>
      <w:r w:rsidRPr="00C31B59">
        <w:t>ie</w:t>
      </w:r>
      <w:r>
        <w:t>s</w:t>
      </w:r>
      <w:r w:rsidRPr="00C31B59">
        <w:t xml:space="preserve">nesis var kļūdīties, bet nevar sava pārkāpuma attaisnošanai izmantot situāciju, kad viņš pats personīgi nav darījis visu iespējamo un nav pārliecinājies par to, ka viņa rīcība nebūs pretrunā likumā noteiktajam, apzinoties, kāda rīcība no viņa konkrētajā situācijā ir sagaidāma (skat. </w:t>
      </w:r>
      <w:r w:rsidRPr="00C31B59">
        <w:rPr>
          <w:i/>
        </w:rPr>
        <w:t>Tiesnešu ētikas komisijas 2021.</w:t>
      </w:r>
      <w:r>
        <w:rPr>
          <w:i/>
        </w:rPr>
        <w:t> </w:t>
      </w:r>
      <w:r w:rsidRPr="00C31B59">
        <w:rPr>
          <w:i/>
        </w:rPr>
        <w:t>gada 2.</w:t>
      </w:r>
      <w:r>
        <w:rPr>
          <w:i/>
        </w:rPr>
        <w:t> </w:t>
      </w:r>
      <w:r w:rsidRPr="00C31B59">
        <w:rPr>
          <w:i/>
        </w:rPr>
        <w:t>februāra atzinumu</w:t>
      </w:r>
      <w:r w:rsidRPr="00C31B59">
        <w:t>).</w:t>
      </w:r>
    </w:p>
    <w:p w14:paraId="5936B7DD" w14:textId="77777777" w:rsidR="0027508E" w:rsidRDefault="0027508E" w:rsidP="00D61D2A">
      <w:pPr>
        <w:pStyle w:val="Standard"/>
        <w:spacing w:line="276" w:lineRule="auto"/>
        <w:ind w:firstLine="567"/>
        <w:jc w:val="both"/>
        <w:rPr>
          <w:color w:val="C0504D" w:themeColor="accent2"/>
        </w:rPr>
      </w:pPr>
    </w:p>
    <w:p w14:paraId="1BB2A3CC" w14:textId="1FBE1CCF" w:rsidR="00EC2A31" w:rsidRDefault="00EC2A31" w:rsidP="00C31B59">
      <w:pPr>
        <w:pStyle w:val="Standard"/>
        <w:spacing w:line="276" w:lineRule="auto"/>
        <w:ind w:firstLine="567"/>
        <w:jc w:val="both"/>
      </w:pPr>
      <w:r w:rsidRPr="00EC2A31">
        <w:t>[</w:t>
      </w:r>
      <w:r w:rsidR="00712A88">
        <w:t>5</w:t>
      </w:r>
      <w:r w:rsidRPr="00EC2A31">
        <w:t xml:space="preserve">] </w:t>
      </w:r>
      <w:r>
        <w:t>Par Ceļu satiksmes likuma 53.</w:t>
      </w:r>
      <w:r w:rsidR="00713FBA">
        <w:t> </w:t>
      </w:r>
      <w:r>
        <w:t xml:space="preserve">panta divpadsmitajā daļā paredzētā administratīvā pārkāpuma izdarīšanu (ceļu satiksmes drošības nenodrošināšana, braucot atpakaļgaitā) piemērojams brīdinājums vai naudas sods transportlīdzekļa </w:t>
      </w:r>
      <w:r>
        <w:lastRenderedPageBreak/>
        <w:t>vadītājam triju naudas soda vienību apmērā.</w:t>
      </w:r>
    </w:p>
    <w:p w14:paraId="27B4B582" w14:textId="3B59FA73" w:rsidR="00EC2A31" w:rsidRDefault="00EC2A31" w:rsidP="00EC2A31">
      <w:pPr>
        <w:pStyle w:val="Standard"/>
        <w:spacing w:line="276" w:lineRule="auto"/>
        <w:ind w:firstLine="567"/>
        <w:jc w:val="both"/>
      </w:pPr>
      <w:r>
        <w:t>Par Ceļu satiksmes likuma 63.</w:t>
      </w:r>
      <w:r w:rsidR="00713FBA">
        <w:t> </w:t>
      </w:r>
      <w:r>
        <w:t>panta piektajā daļā paredzētā pārkāpuma izdarīšanu transportlīdzekļa vadītājam likumā paredzēts sods no četrpadsmit līdz simt četrdesmit naudas soda vienībām un transportlīdzekļa vadīšanas tiesību izmantošanas aizliegums uz laiku no trim mēnešiem līdz diviem gadiem vai bez transportlīdzekļa vadīšanas tiesību izmantošanas aizlieguma.</w:t>
      </w:r>
    </w:p>
    <w:p w14:paraId="5F54D0DF" w14:textId="7796A6B1" w:rsidR="00EC2A31" w:rsidRDefault="00EC2A31" w:rsidP="00EC2A31">
      <w:pPr>
        <w:pStyle w:val="Standard"/>
        <w:spacing w:line="276" w:lineRule="auto"/>
        <w:ind w:firstLine="567"/>
        <w:jc w:val="both"/>
      </w:pPr>
      <w:r>
        <w:t>Par Ceļu satiksmes likuma 62.</w:t>
      </w:r>
      <w:r w:rsidR="00713FBA">
        <w:t> </w:t>
      </w:r>
      <w:r>
        <w:t>panta septītajā daļā paredzētā pārkāpuma izdarīšanu (alkoholisko dzērienu, narkotisko vai citu apreibinošo vielu lietošanu pēc satiksmes negadījuma) transportlīdzekļa vadītājam piemērojams sods no divsimt četrdesmit līdz četrsimt naudas soda vienībām, atņemot transportlīdzekļa vadīšanas tiesības uz pieciem gadiem.</w:t>
      </w:r>
    </w:p>
    <w:p w14:paraId="2FCDABAB" w14:textId="77777777" w:rsidR="003D6DAC" w:rsidRDefault="003D6DAC" w:rsidP="003D6DAC">
      <w:pPr>
        <w:pStyle w:val="Standard"/>
        <w:spacing w:line="276" w:lineRule="auto"/>
        <w:ind w:firstLine="567"/>
        <w:jc w:val="both"/>
      </w:pPr>
      <w:r>
        <w:t>No minētā secināms, ka Ceļu satiksmes likuma 63. panta piektajā daļā un 62. panta septītajā daļā paredzētie pārkāpumi ir uzskatāmi par tādiem, kas būtiski apdraud satiksmes drošību.</w:t>
      </w:r>
    </w:p>
    <w:p w14:paraId="65883748" w14:textId="77777777" w:rsidR="00B7347B" w:rsidRDefault="00B7347B" w:rsidP="00C31B59">
      <w:pPr>
        <w:pStyle w:val="Standard"/>
        <w:spacing w:line="276" w:lineRule="auto"/>
        <w:ind w:firstLine="567"/>
        <w:jc w:val="both"/>
      </w:pPr>
    </w:p>
    <w:p w14:paraId="73F83C7E" w14:textId="7D0E3F2E" w:rsidR="009F1ACD" w:rsidRDefault="00EC2A31" w:rsidP="00C01D4E">
      <w:pPr>
        <w:pStyle w:val="Standard"/>
        <w:spacing w:line="276" w:lineRule="auto"/>
        <w:ind w:firstLine="567"/>
        <w:jc w:val="both"/>
      </w:pPr>
      <w:r>
        <w:t>[</w:t>
      </w:r>
      <w:r w:rsidR="00712A88">
        <w:t>6</w:t>
      </w:r>
      <w:r>
        <w:t>]</w:t>
      </w:r>
      <w:r w:rsidR="00C31B59" w:rsidRPr="00C31B59">
        <w:rPr>
          <w:color w:val="C0504D" w:themeColor="accent2"/>
        </w:rPr>
        <w:t xml:space="preserve"> </w:t>
      </w:r>
      <w:r w:rsidR="00C31B59" w:rsidRPr="00C31B59">
        <w:t>Nav šaubu, ka, izdarot Ceļu satiksmes likumā paredzētos administratīvos pārkāpumus, tiesnesis nav ievērojis likumu, – to atzīst arī pats tiesnesis. Tomēr ne katrs likuma pārkāpums pats par sevi ir rupjš tiesneša ētikas normu pārkāpums. Tiesnešu ētikas komisijas ieskatā ir jā</w:t>
      </w:r>
      <w:r w:rsidR="003D6DAC">
        <w:t>ņem vērā</w:t>
      </w:r>
      <w:r w:rsidR="00C31B59" w:rsidRPr="00C31B59">
        <w:t xml:space="preserve"> administratīvā pārkāpuma smagums, izdarīšanas apstākļi</w:t>
      </w:r>
      <w:r w:rsidR="00087C95">
        <w:t xml:space="preserve"> un</w:t>
      </w:r>
      <w:r w:rsidR="00C31B59" w:rsidRPr="00C31B59">
        <w:t xml:space="preserve"> </w:t>
      </w:r>
      <w:r w:rsidR="00712A88">
        <w:t>sabiedrības apdraudējuma pakāpe.</w:t>
      </w:r>
      <w:r w:rsidR="003D6DAC" w:rsidRPr="003D6DAC">
        <w:t xml:space="preserve"> </w:t>
      </w:r>
      <w:r w:rsidR="003D6DAC">
        <w:t>Izskatāmajā gadījumā a</w:t>
      </w:r>
      <w:r w:rsidR="003D6DAC" w:rsidRPr="001B504A">
        <w:t>dministratīv</w:t>
      </w:r>
      <w:r w:rsidR="003D6DAC">
        <w:t>o</w:t>
      </w:r>
      <w:r w:rsidR="003D6DAC" w:rsidRPr="001B504A">
        <w:t xml:space="preserve"> pārkāpum</w:t>
      </w:r>
      <w:r w:rsidR="003D6DAC">
        <w:t>u</w:t>
      </w:r>
      <w:r w:rsidR="003D6DAC" w:rsidRPr="001B504A">
        <w:t xml:space="preserve"> smagumu, raksturu un citus apstākļus ir izvērtējusi Valsts policija, piemērojot tiesnes</w:t>
      </w:r>
      <w:r w:rsidR="003D6DAC">
        <w:t>im</w:t>
      </w:r>
      <w:r w:rsidR="003D6DAC" w:rsidRPr="001B504A">
        <w:t xml:space="preserve"> naudas sodu </w:t>
      </w:r>
      <w:r w:rsidR="003D6DAC">
        <w:t>par katru no izdarītajiem administratīvajiem pārkāpumiem.</w:t>
      </w:r>
    </w:p>
    <w:p w14:paraId="17A433D5" w14:textId="77777777" w:rsidR="00087C95" w:rsidRDefault="00087C95" w:rsidP="00C01D4E">
      <w:pPr>
        <w:pStyle w:val="Standard"/>
        <w:spacing w:line="276" w:lineRule="auto"/>
        <w:ind w:firstLine="567"/>
        <w:jc w:val="both"/>
      </w:pPr>
    </w:p>
    <w:p w14:paraId="3A0B8830" w14:textId="6EAA269E" w:rsidR="00C01D4E" w:rsidRPr="00C01D4E" w:rsidRDefault="007103EF" w:rsidP="00C01D4E">
      <w:pPr>
        <w:pStyle w:val="Standard"/>
        <w:spacing w:line="276" w:lineRule="auto"/>
        <w:ind w:firstLine="567"/>
        <w:jc w:val="both"/>
      </w:pPr>
      <w:r>
        <w:t>[</w:t>
      </w:r>
      <w:r w:rsidR="00712A88">
        <w:t>7</w:t>
      </w:r>
      <w:r>
        <w:t xml:space="preserve">] </w:t>
      </w:r>
      <w:r w:rsidR="00C01D4E">
        <w:t>Tiesnešu ē</w:t>
      </w:r>
      <w:r w:rsidR="00226B69" w:rsidRPr="00C01D4E">
        <w:t xml:space="preserve">tikas komisija </w:t>
      </w:r>
      <w:r w:rsidR="005B21FA">
        <w:t>apzinās</w:t>
      </w:r>
      <w:r w:rsidR="00226B69" w:rsidRPr="00C01D4E">
        <w:t xml:space="preserve">, ka ceļu satiksmes drošība ir viena no sabiedrības interesēm, kas skar ikvienu mūsu valsts iedzīvotāju, un valsts rīcība šajā jomā ir vērsta uz to, lai mazinātu ceļu satiksmes negadījumos bojā gājušo un cietušo skaitu. Viens no valsts īstenotajiem </w:t>
      </w:r>
      <w:proofErr w:type="spellStart"/>
      <w:r w:rsidR="00C01D4E" w:rsidRPr="00C01D4E">
        <w:t>prevencijas</w:t>
      </w:r>
      <w:proofErr w:type="spellEnd"/>
      <w:r w:rsidR="00C01D4E" w:rsidRPr="00C01D4E">
        <w:t xml:space="preserve"> </w:t>
      </w:r>
      <w:r w:rsidR="00226B69" w:rsidRPr="00C01D4E">
        <w:t>pasākumiem ir sodu politika</w:t>
      </w:r>
      <w:r w:rsidR="00C01D4E">
        <w:t>s</w:t>
      </w:r>
      <w:r w:rsidR="00226B69" w:rsidRPr="00C01D4E">
        <w:t xml:space="preserve"> </w:t>
      </w:r>
      <w:r w:rsidR="00C01D4E" w:rsidRPr="007103EF">
        <w:t>pārskatīšana par ceļu satiksmes negadījumiem, kurus transportlīdzekļa vadītājs izraisījis</w:t>
      </w:r>
      <w:r w:rsidR="00C01D4E">
        <w:t>,</w:t>
      </w:r>
      <w:r w:rsidR="00C01D4E" w:rsidRPr="007103EF">
        <w:t xml:space="preserve"> būdams alkohol</w:t>
      </w:r>
      <w:r w:rsidR="00087C95">
        <w:t>isko dzērienu</w:t>
      </w:r>
      <w:r w:rsidR="00C01D4E" w:rsidRPr="007103EF">
        <w:t xml:space="preserve"> vai citu </w:t>
      </w:r>
      <w:r w:rsidR="00087C95">
        <w:t xml:space="preserve">apreibinošu </w:t>
      </w:r>
      <w:r w:rsidR="00C01D4E" w:rsidRPr="007103EF">
        <w:t xml:space="preserve">vielu </w:t>
      </w:r>
      <w:r w:rsidR="00087C95">
        <w:t>ietekmē</w:t>
      </w:r>
      <w:r w:rsidR="00C01D4E" w:rsidRPr="007103EF">
        <w:t xml:space="preserve">. </w:t>
      </w:r>
      <w:r w:rsidR="00087C95">
        <w:t>Ar likumu noteikts, ka p</w:t>
      </w:r>
      <w:r w:rsidR="00226B69" w:rsidRPr="00C01D4E">
        <w:t>ēc ceļu satiksmes negadījuma vadītājs nedrīkst lietot alkoholu</w:t>
      </w:r>
      <w:r w:rsidR="00C01D4E" w:rsidRPr="00C01D4E">
        <w:t>,</w:t>
      </w:r>
      <w:r w:rsidR="00226B69" w:rsidRPr="00C01D4E">
        <w:t xml:space="preserve"> līdz ierodas policija vai pārkāpums tiek fiksēts. </w:t>
      </w:r>
    </w:p>
    <w:p w14:paraId="739399D1" w14:textId="77777777" w:rsidR="00087C95" w:rsidRPr="00C01D4E" w:rsidRDefault="00087C95" w:rsidP="00087C95">
      <w:pPr>
        <w:pStyle w:val="Standard"/>
        <w:spacing w:line="276" w:lineRule="auto"/>
        <w:ind w:firstLine="567"/>
        <w:jc w:val="both"/>
      </w:pPr>
      <w:r w:rsidRPr="00E56BCF">
        <w:t>Izvērtējot likumā paredzētā soda apmēru par transportlīdzekļa vadīšanu alkoholisko dzērienu vai citu apreibinošos vielu ietekmē un alkoholisko dzērienu un citu apreibinošo vielu lietošanu pēc satiksmes negadījuma līdz šādu vielu ietekmes pārbaudei, secināms, ka likumdevējs abos gadījumos ir noteicis vienādu soda apmēru</w:t>
      </w:r>
      <w:r>
        <w:t>. T</w:t>
      </w:r>
      <w:r w:rsidRPr="00E56BCF">
        <w:t>as nozīmē, ka alkoholisko dzērienu lietošana pēc negadījuma ir pielīdzinā</w:t>
      </w:r>
      <w:r>
        <w:t>t</w:t>
      </w:r>
      <w:r w:rsidRPr="00E56BCF">
        <w:t xml:space="preserve">a transportlīdzekļa vadīšanai alkoholisko dzērienu ietekmē. </w:t>
      </w:r>
    </w:p>
    <w:p w14:paraId="0080EF4D" w14:textId="77777777" w:rsidR="00087C95" w:rsidRDefault="00087C95" w:rsidP="00087C95">
      <w:pPr>
        <w:pStyle w:val="Standard"/>
        <w:spacing w:line="276" w:lineRule="auto"/>
        <w:ind w:firstLine="567"/>
        <w:jc w:val="both"/>
      </w:pPr>
      <w:r>
        <w:t xml:space="preserve">Ņemot vērā minēto un to, ka </w:t>
      </w:r>
      <w:r w:rsidRPr="00C01D4E">
        <w:t xml:space="preserve">var </w:t>
      </w:r>
      <w:r>
        <w:t>n</w:t>
      </w:r>
      <w:r w:rsidRPr="00C01D4E">
        <w:t xml:space="preserve">ebūt </w:t>
      </w:r>
      <w:r>
        <w:t xml:space="preserve">iespējas </w:t>
      </w:r>
      <w:r w:rsidRPr="00C01D4E">
        <w:t>objektīvi noskaidro</w:t>
      </w:r>
      <w:r>
        <w:t>t</w:t>
      </w:r>
      <w:r w:rsidRPr="00C01D4E">
        <w:t xml:space="preserve">, kad tieši vadītājs </w:t>
      </w:r>
      <w:r>
        <w:t xml:space="preserve">lietojis </w:t>
      </w:r>
      <w:r w:rsidRPr="00C01D4E">
        <w:t>alkohol</w:t>
      </w:r>
      <w:r>
        <w:t xml:space="preserve">iskos dzērienus, </w:t>
      </w:r>
      <w:r w:rsidRPr="00C01D4E">
        <w:t>tiesnesim piemērotā administratīvā atbildība par Ceļu satiksmes likuma 62.</w:t>
      </w:r>
      <w:r>
        <w:t xml:space="preserve"> </w:t>
      </w:r>
      <w:r w:rsidRPr="00C01D4E">
        <w:t>panta septītajā daļā paredzētā pārkāpuma izdarīšanu komisijas vērtējumā ir atzīstama par rupju pārkāpumu.</w:t>
      </w:r>
      <w:r>
        <w:t xml:space="preserve"> </w:t>
      </w:r>
      <w:r w:rsidRPr="00C01D4E">
        <w:t xml:space="preserve">Tiesneša rīcība neatbilst </w:t>
      </w:r>
      <w:r>
        <w:t xml:space="preserve">tādiem </w:t>
      </w:r>
      <w:r w:rsidRPr="00C01D4E">
        <w:t>uzvedības standartiem, k</w:t>
      </w:r>
      <w:r>
        <w:t>as būtu tiesneša amata cienīga un kādu</w:t>
      </w:r>
      <w:r w:rsidRPr="00C01D4E">
        <w:t xml:space="preserve"> no tiesneša sagaida sabiedrība. Šāds pārkāpums var atstāt negatīvu attieksmi pret visu tiesnešu korpusu </w:t>
      </w:r>
      <w:r w:rsidRPr="00C01D4E">
        <w:lastRenderedPageBreak/>
        <w:t>kopumā.</w:t>
      </w:r>
    </w:p>
    <w:p w14:paraId="347DD011" w14:textId="77777777" w:rsidR="00C01D4E" w:rsidRPr="00C01D4E" w:rsidRDefault="00C01D4E" w:rsidP="00C01D4E">
      <w:pPr>
        <w:pStyle w:val="Standard"/>
        <w:spacing w:line="276" w:lineRule="auto"/>
        <w:ind w:firstLine="567"/>
        <w:jc w:val="both"/>
      </w:pPr>
    </w:p>
    <w:p w14:paraId="35C2376D" w14:textId="2ABF7940" w:rsidR="00C01D4E" w:rsidRDefault="00C01D4E" w:rsidP="00C01D4E">
      <w:pPr>
        <w:pStyle w:val="Standard"/>
        <w:spacing w:line="276" w:lineRule="auto"/>
        <w:ind w:firstLine="567"/>
        <w:jc w:val="both"/>
      </w:pPr>
      <w:r>
        <w:t>[</w:t>
      </w:r>
      <w:r w:rsidR="00B7347B">
        <w:t>8</w:t>
      </w:r>
      <w:r>
        <w:t>] Tiesnešu ē</w:t>
      </w:r>
      <w:r w:rsidRPr="00C01D4E">
        <w:t>tikas komisija</w:t>
      </w:r>
      <w:r>
        <w:t xml:space="preserve"> ņem vērā arī, ka </w:t>
      </w:r>
      <w:r w:rsidRPr="00C01D4E">
        <w:t>Valsts policijas inspektores ziņojumā norādīts, ka tiesnesis sarunā neviennozīmīgi min</w:t>
      </w:r>
      <w:r>
        <w:t>ējis savu</w:t>
      </w:r>
      <w:r w:rsidRPr="00C01D4E">
        <w:t xml:space="preserve"> saistību ar valsts sektoru, </w:t>
      </w:r>
      <w:r>
        <w:t xml:space="preserve">norādot, </w:t>
      </w:r>
      <w:r w:rsidRPr="00C01D4E">
        <w:t xml:space="preserve">ka viņam ir neaizskaramība, </w:t>
      </w:r>
      <w:r w:rsidR="00712A88">
        <w:t xml:space="preserve">ka </w:t>
      </w:r>
      <w:r w:rsidRPr="00C01D4E">
        <w:t xml:space="preserve">viņš ir tiesnesis. </w:t>
      </w:r>
    </w:p>
    <w:p w14:paraId="5C6CEDDC" w14:textId="740CA361" w:rsidR="00C01D4E" w:rsidRDefault="00C01D4E" w:rsidP="00C01D4E">
      <w:pPr>
        <w:pStyle w:val="Standard"/>
        <w:spacing w:line="276" w:lineRule="auto"/>
        <w:ind w:firstLine="567"/>
        <w:jc w:val="both"/>
      </w:pPr>
      <w:r>
        <w:t xml:space="preserve">Tiesnešu ētikas komisijai </w:t>
      </w:r>
      <w:r w:rsidRPr="00C01D4E">
        <w:t xml:space="preserve">tiesnesis skaidroja, ka tiesneša amatu </w:t>
      </w:r>
      <w:r w:rsidR="0081169B">
        <w:t xml:space="preserve">sarunā ar </w:t>
      </w:r>
      <w:r w:rsidRPr="00C01D4E">
        <w:t>inspektori pieminējis</w:t>
      </w:r>
      <w:r>
        <w:t xml:space="preserve"> ar domu</w:t>
      </w:r>
      <w:r w:rsidRPr="00C01D4E">
        <w:t>, ka viņš kā tiesnesis labi apzinās, kādas sekas ir notikuma vietas atstāšanai pēc satiksmes negadījuma, tādēļ notikuma vietu nav pametis apzināti.</w:t>
      </w:r>
    </w:p>
    <w:p w14:paraId="7AD45884" w14:textId="39430D95" w:rsidR="00C01D4E" w:rsidRPr="00C01D4E" w:rsidRDefault="00C01D4E" w:rsidP="00C01D4E">
      <w:pPr>
        <w:pStyle w:val="Standard"/>
        <w:spacing w:line="276" w:lineRule="auto"/>
        <w:ind w:firstLine="567"/>
        <w:jc w:val="both"/>
      </w:pPr>
      <w:r w:rsidRPr="00C01D4E">
        <w:t>Tiesnešu ētikas komisijas ieskatā tiesnesim nebija pamata atsaukties uz savu amatu, jo tas var radīt priekšstatu, ka tiesneša amats tiek izmantots nolūkā iegūt sev kādas priekšrocības.</w:t>
      </w:r>
    </w:p>
    <w:p w14:paraId="741624D6" w14:textId="092A5B01" w:rsidR="00C01D4E" w:rsidRPr="00C01D4E" w:rsidRDefault="00C01D4E" w:rsidP="00712A88">
      <w:pPr>
        <w:pStyle w:val="Standard"/>
        <w:spacing w:line="276" w:lineRule="auto"/>
        <w:ind w:firstLine="567"/>
        <w:jc w:val="both"/>
      </w:pPr>
      <w:r w:rsidRPr="00C01D4E">
        <w:t>Tiesnesim jāpieņem tādi uzvedības ierobežojumi, kas parastam pilsonim var šķist apgrūtinoši, turklāt tas jādara pēc brīvas gribas. Katra tiesneša rīcība un uzvedība arī ārpus tiesas atstāj iespaidu uz sabiedrības viedokli par tiesu un rada vispārēju priekšstatu par tiesu varu kopumā.</w:t>
      </w:r>
      <w:r w:rsidR="00712A88">
        <w:t xml:space="preserve"> </w:t>
      </w:r>
      <w:r w:rsidRPr="00C01D4E">
        <w:t xml:space="preserve">Tiesnesim jārēķinās ar atrašanos sabiedrības uzmanības centrā un jāapzinās, ka tiesneša izdarīti pārkāpumi neapšaubāmi piesaista plašāku sabiedrības uzmanību. </w:t>
      </w:r>
    </w:p>
    <w:p w14:paraId="5E41A7D7" w14:textId="77777777" w:rsidR="005C16C5" w:rsidRPr="0027508E" w:rsidRDefault="005C16C5" w:rsidP="00712A88">
      <w:pPr>
        <w:pStyle w:val="Standard"/>
        <w:spacing w:line="276" w:lineRule="auto"/>
        <w:jc w:val="both"/>
        <w:rPr>
          <w:color w:val="C0504D" w:themeColor="accent2"/>
        </w:rPr>
      </w:pPr>
    </w:p>
    <w:p w14:paraId="29262559" w14:textId="5FCD65DE" w:rsidR="00226B69" w:rsidRPr="00B7347B" w:rsidRDefault="00BC17AB" w:rsidP="00087C95">
      <w:pPr>
        <w:pStyle w:val="Paraststmeklis"/>
        <w:shd w:val="clear" w:color="auto" w:fill="FFFFFF"/>
        <w:spacing w:before="0" w:beforeAutospacing="0" w:after="0" w:afterAutospacing="0" w:line="276" w:lineRule="auto"/>
        <w:ind w:firstLine="567"/>
        <w:jc w:val="both"/>
      </w:pPr>
      <w:r w:rsidRPr="00712A88">
        <w:t>[</w:t>
      </w:r>
      <w:r w:rsidR="00B7347B">
        <w:t>9</w:t>
      </w:r>
      <w:r w:rsidRPr="00712A88">
        <w:t>]</w:t>
      </w:r>
      <w:r w:rsidR="00712A88" w:rsidRPr="00712A88">
        <w:t xml:space="preserve"> </w:t>
      </w:r>
      <w:r w:rsidR="005C16C5" w:rsidRPr="00712A88">
        <w:t xml:space="preserve">Tiesnešu ētikas komisijas ieskatā konkrētajā gadījumā </w:t>
      </w:r>
      <w:r w:rsidR="00712A88" w:rsidRPr="00712A88">
        <w:t>iestājušās sekas – tiesnesis administratīvi sodīts par trīs administratīvu pārkāpumu izdarīšanu, vien</w:t>
      </w:r>
      <w:r w:rsidR="00F34C2A">
        <w:t>s</w:t>
      </w:r>
      <w:r w:rsidR="00712A88" w:rsidRPr="00712A88">
        <w:t xml:space="preserve"> no </w:t>
      </w:r>
      <w:r w:rsidR="00165C00">
        <w:t>t</w:t>
      </w:r>
      <w:r w:rsidR="00712A88" w:rsidRPr="00712A88">
        <w:t>iem saistīts ar alkohola lietošanu</w:t>
      </w:r>
      <w:r w:rsidR="004D7089">
        <w:t xml:space="preserve"> –</w:t>
      </w:r>
      <w:r w:rsidR="00712A88" w:rsidRPr="00712A88">
        <w:t xml:space="preserve"> liecina par to, ka </w:t>
      </w:r>
      <w:r w:rsidR="005C16C5" w:rsidRPr="00712A88">
        <w:t>tiesne</w:t>
      </w:r>
      <w:r w:rsidR="00712A88" w:rsidRPr="00712A88">
        <w:t>ša</w:t>
      </w:r>
      <w:r w:rsidR="005C16C5" w:rsidRPr="00712A88">
        <w:t xml:space="preserve"> rīcība neatbilst tiesnesim izvirzītajām uzvedības prasībām un mazina sabiedrības uzticēšanos tiesu varai kopumā. </w:t>
      </w:r>
      <w:r w:rsidR="000A5C01" w:rsidRPr="00712A88">
        <w:t xml:space="preserve"> </w:t>
      </w:r>
    </w:p>
    <w:p w14:paraId="0B13BC6C" w14:textId="2351C2EB" w:rsidR="005C16C5" w:rsidRPr="000A5C01" w:rsidRDefault="002B2AB3" w:rsidP="00712A88">
      <w:pPr>
        <w:pStyle w:val="Standard"/>
        <w:spacing w:line="276" w:lineRule="auto"/>
        <w:ind w:firstLine="567"/>
        <w:jc w:val="both"/>
      </w:pPr>
      <w:r>
        <w:t>T</w:t>
      </w:r>
      <w:r w:rsidR="005C16C5" w:rsidRPr="000A5C01">
        <w:t>iesne</w:t>
      </w:r>
      <w:r w:rsidR="000A5C01">
        <w:t>ša</w:t>
      </w:r>
      <w:r w:rsidR="005C16C5" w:rsidRPr="000A5C01">
        <w:t xml:space="preserve"> izdarīt</w:t>
      </w:r>
      <w:r w:rsidR="000A5C01">
        <w:t>ie</w:t>
      </w:r>
      <w:r w:rsidR="005C16C5" w:rsidRPr="000A5C01">
        <w:t xml:space="preserve"> administratīv</w:t>
      </w:r>
      <w:r w:rsidR="000A5C01">
        <w:t xml:space="preserve">ie </w:t>
      </w:r>
      <w:r w:rsidR="005C16C5" w:rsidRPr="000A5C01">
        <w:t>pārkāpum</w:t>
      </w:r>
      <w:r w:rsidR="000A5C01">
        <w:t>i</w:t>
      </w:r>
      <w:r w:rsidR="005C16C5" w:rsidRPr="000A5C01">
        <w:t xml:space="preserve"> ir atstāj</w:t>
      </w:r>
      <w:r w:rsidR="000A5C01">
        <w:t>uši</w:t>
      </w:r>
      <w:r w:rsidR="005C16C5" w:rsidRPr="000A5C01">
        <w:t xml:space="preserve"> negatīvu iespaidu uz sabiedrības attieksmi p</w:t>
      </w:r>
      <w:r w:rsidR="007F0CBB" w:rsidRPr="000A5C01">
        <w:t>ret</w:t>
      </w:r>
      <w:r w:rsidR="006E4EE9" w:rsidRPr="000A5C01">
        <w:t xml:space="preserve"> visiem tiesnešiem kopumā</w:t>
      </w:r>
      <w:r>
        <w:t>. L</w:t>
      </w:r>
      <w:r w:rsidR="005C16C5" w:rsidRPr="000A5C01">
        <w:t xml:space="preserve">īdz ar to </w:t>
      </w:r>
      <w:r>
        <w:t xml:space="preserve">Tiesnešu ētikas komisija </w:t>
      </w:r>
      <w:r w:rsidR="005C16C5" w:rsidRPr="000A5C01">
        <w:t>atzīst tiesne</w:t>
      </w:r>
      <w:r w:rsidR="000A5C01">
        <w:t>ša</w:t>
      </w:r>
      <w:r w:rsidR="005C16C5" w:rsidRPr="000A5C01">
        <w:t xml:space="preserve"> pieļauto ētikas normu pārkāpumu par rupju, kas </w:t>
      </w:r>
      <w:r w:rsidR="00712A88">
        <w:t xml:space="preserve">saskaņā ar </w:t>
      </w:r>
      <w:r w:rsidR="00712A88" w:rsidRPr="00AB2653">
        <w:t>Tiesnešu disciplinārās atbildības likuma 3.</w:t>
      </w:r>
      <w:r w:rsidR="00713FBA">
        <w:t> </w:t>
      </w:r>
      <w:r w:rsidR="00712A88" w:rsidRPr="00AB2653">
        <w:t xml:space="preserve">panta </w:t>
      </w:r>
      <w:r w:rsidR="00712A88">
        <w:t xml:space="preserve">trešo daļu </w:t>
      </w:r>
      <w:r w:rsidR="005C16C5" w:rsidRPr="000A5C01">
        <w:t>ir pamats disciplinārlietas ierosināšanai. </w:t>
      </w:r>
    </w:p>
    <w:p w14:paraId="0F303D1A" w14:textId="77777777" w:rsidR="005C16C5" w:rsidRPr="0027508E" w:rsidRDefault="005C16C5" w:rsidP="006F5404">
      <w:pPr>
        <w:pStyle w:val="Standard"/>
        <w:spacing w:line="276" w:lineRule="auto"/>
        <w:jc w:val="both"/>
        <w:rPr>
          <w:color w:val="C0504D" w:themeColor="accent2"/>
        </w:rPr>
      </w:pPr>
    </w:p>
    <w:p w14:paraId="48A4B4F5" w14:textId="77777777" w:rsidR="006E4EE9" w:rsidRPr="001B504A" w:rsidRDefault="005C16C5" w:rsidP="006E4EE9">
      <w:pPr>
        <w:pStyle w:val="Standard"/>
        <w:spacing w:line="276" w:lineRule="auto"/>
        <w:ind w:firstLine="567"/>
        <w:jc w:val="both"/>
      </w:pPr>
      <w:r w:rsidRPr="001B504A">
        <w:t>Ņemot vērā norādīto, Tiesnešu ētikas komisija</w:t>
      </w:r>
    </w:p>
    <w:p w14:paraId="71BF02C7" w14:textId="16E52A93" w:rsidR="005C16C5" w:rsidRDefault="001B504A" w:rsidP="006F5404">
      <w:pPr>
        <w:pStyle w:val="Standard"/>
        <w:spacing w:line="276" w:lineRule="auto"/>
        <w:jc w:val="center"/>
        <w:rPr>
          <w:b/>
          <w:bCs/>
        </w:rPr>
      </w:pPr>
      <w:r>
        <w:rPr>
          <w:b/>
          <w:bCs/>
        </w:rPr>
        <w:t>a</w:t>
      </w:r>
      <w:r w:rsidR="005C16C5" w:rsidRPr="001B504A">
        <w:rPr>
          <w:b/>
          <w:bCs/>
        </w:rPr>
        <w:t>tzīst</w:t>
      </w:r>
    </w:p>
    <w:p w14:paraId="08E992A7" w14:textId="77777777" w:rsidR="001B504A" w:rsidRPr="001B504A" w:rsidRDefault="001B504A" w:rsidP="006F5404">
      <w:pPr>
        <w:pStyle w:val="Standard"/>
        <w:spacing w:line="276" w:lineRule="auto"/>
        <w:jc w:val="center"/>
        <w:rPr>
          <w:b/>
          <w:bCs/>
        </w:rPr>
      </w:pPr>
    </w:p>
    <w:p w14:paraId="23D73222" w14:textId="42C206CB" w:rsidR="006F5404" w:rsidRPr="001B504A" w:rsidRDefault="001B504A" w:rsidP="006E4EE9">
      <w:pPr>
        <w:pStyle w:val="Standard"/>
        <w:spacing w:line="276" w:lineRule="auto"/>
        <w:ind w:firstLine="567"/>
        <w:jc w:val="both"/>
      </w:pPr>
      <w:r>
        <w:t>t</w:t>
      </w:r>
      <w:r w:rsidR="005C16C5" w:rsidRPr="001B504A">
        <w:t>iesne</w:t>
      </w:r>
      <w:r>
        <w:t>ša</w:t>
      </w:r>
      <w:r w:rsidR="005C16C5" w:rsidRPr="001B504A">
        <w:t xml:space="preserve"> rīcībā ir konstatējams Latvijas tiesnešu ētikas kodeksa 1. kanona 2. un 4. punkta, 2. kanona 1., 4. un 6. punkta un 4. kanona 1. punkta pārkāpums.</w:t>
      </w:r>
    </w:p>
    <w:p w14:paraId="699995AC" w14:textId="6ADBBE0F" w:rsidR="005C16C5" w:rsidRPr="001B504A" w:rsidRDefault="005C16C5" w:rsidP="00622031">
      <w:pPr>
        <w:pStyle w:val="Standard"/>
        <w:spacing w:line="276" w:lineRule="auto"/>
        <w:ind w:firstLine="567"/>
        <w:jc w:val="both"/>
      </w:pPr>
      <w:r w:rsidRPr="001B504A">
        <w:t>Tiesne</w:t>
      </w:r>
      <w:r w:rsidR="001B504A">
        <w:t xml:space="preserve">ša </w:t>
      </w:r>
      <w:r w:rsidRPr="001B504A">
        <w:t>ētikas normu pārkāpums ir rupjš, kas ir pamats disciplinārlietas ierosināšanai.</w:t>
      </w:r>
    </w:p>
    <w:p w14:paraId="5F17D260" w14:textId="77777777" w:rsidR="00487180" w:rsidRPr="001B504A" w:rsidRDefault="00487180" w:rsidP="00622031">
      <w:pPr>
        <w:pStyle w:val="Standard"/>
        <w:spacing w:line="276" w:lineRule="auto"/>
        <w:ind w:firstLine="567"/>
        <w:jc w:val="both"/>
      </w:pPr>
    </w:p>
    <w:tbl>
      <w:tblPr>
        <w:tblStyle w:val="Reatabula"/>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126"/>
      </w:tblGrid>
      <w:tr w:rsidR="00C0036A" w:rsidRPr="001B504A" w14:paraId="79369141" w14:textId="77777777" w:rsidTr="005C6210">
        <w:tc>
          <w:tcPr>
            <w:tcW w:w="6946" w:type="dxa"/>
            <w:hideMark/>
          </w:tcPr>
          <w:p w14:paraId="5E7431BC" w14:textId="77777777" w:rsidR="00C0036A" w:rsidRPr="001B504A" w:rsidRDefault="00C0036A" w:rsidP="005C6210">
            <w:pPr>
              <w:pStyle w:val="Standard"/>
              <w:spacing w:line="276" w:lineRule="auto"/>
              <w:jc w:val="both"/>
            </w:pPr>
            <w:r w:rsidRPr="001B504A">
              <w:t>Komisijas priekšsēdētāja</w:t>
            </w:r>
          </w:p>
        </w:tc>
        <w:tc>
          <w:tcPr>
            <w:tcW w:w="2126" w:type="dxa"/>
            <w:hideMark/>
          </w:tcPr>
          <w:p w14:paraId="1027F8AF" w14:textId="739831DD" w:rsidR="00C0036A" w:rsidRPr="001B504A" w:rsidRDefault="00C0036A" w:rsidP="005C6210">
            <w:pPr>
              <w:pStyle w:val="Standard"/>
              <w:spacing w:line="276" w:lineRule="auto"/>
              <w:jc w:val="both"/>
            </w:pPr>
            <w:r w:rsidRPr="001B504A">
              <w:t>Dace Skraupl</w:t>
            </w:r>
            <w:r>
              <w:t>e</w:t>
            </w:r>
          </w:p>
          <w:p w14:paraId="687C0772" w14:textId="77777777" w:rsidR="00C0036A" w:rsidRPr="001B504A" w:rsidRDefault="00C0036A" w:rsidP="005C6210">
            <w:pPr>
              <w:pStyle w:val="Standard"/>
              <w:spacing w:line="276" w:lineRule="auto"/>
              <w:jc w:val="both"/>
            </w:pPr>
          </w:p>
        </w:tc>
      </w:tr>
      <w:tr w:rsidR="00C0036A" w:rsidRPr="001B504A" w14:paraId="62C6F4EF" w14:textId="77777777" w:rsidTr="005C6210">
        <w:tc>
          <w:tcPr>
            <w:tcW w:w="6946" w:type="dxa"/>
            <w:hideMark/>
          </w:tcPr>
          <w:p w14:paraId="3D6F5995" w14:textId="77777777" w:rsidR="00C0036A" w:rsidRPr="001B504A" w:rsidRDefault="00C0036A" w:rsidP="005C6210">
            <w:pPr>
              <w:pStyle w:val="Standard"/>
              <w:spacing w:line="276" w:lineRule="auto"/>
              <w:jc w:val="both"/>
            </w:pPr>
            <w:r w:rsidRPr="001B504A">
              <w:t>Komisijas locek</w:t>
            </w:r>
            <w:r>
              <w:t>ļi</w:t>
            </w:r>
          </w:p>
        </w:tc>
        <w:tc>
          <w:tcPr>
            <w:tcW w:w="2126" w:type="dxa"/>
            <w:vAlign w:val="center"/>
            <w:hideMark/>
          </w:tcPr>
          <w:p w14:paraId="73CC836A" w14:textId="77777777" w:rsidR="00C0036A" w:rsidRPr="001B504A" w:rsidRDefault="00C0036A" w:rsidP="005C6210">
            <w:pPr>
              <w:pStyle w:val="Standard"/>
              <w:spacing w:line="276" w:lineRule="auto"/>
              <w:jc w:val="both"/>
            </w:pPr>
            <w:r w:rsidRPr="001B504A">
              <w:t>Madara Ābele</w:t>
            </w:r>
          </w:p>
          <w:p w14:paraId="07DA74FE" w14:textId="77777777" w:rsidR="00C0036A" w:rsidRPr="001B504A" w:rsidRDefault="00C0036A" w:rsidP="005C6210">
            <w:pPr>
              <w:pStyle w:val="Standard"/>
              <w:spacing w:line="276" w:lineRule="auto"/>
              <w:jc w:val="both"/>
            </w:pPr>
          </w:p>
        </w:tc>
      </w:tr>
      <w:tr w:rsidR="00C0036A" w:rsidRPr="001B504A" w14:paraId="3289D364" w14:textId="77777777" w:rsidTr="005C6210">
        <w:tc>
          <w:tcPr>
            <w:tcW w:w="6946" w:type="dxa"/>
          </w:tcPr>
          <w:p w14:paraId="05AF6BAA" w14:textId="77777777" w:rsidR="00C0036A" w:rsidRPr="001B504A" w:rsidRDefault="00C0036A" w:rsidP="005C6210">
            <w:pPr>
              <w:pStyle w:val="Standard"/>
              <w:spacing w:line="276" w:lineRule="auto"/>
              <w:jc w:val="both"/>
            </w:pPr>
          </w:p>
        </w:tc>
        <w:tc>
          <w:tcPr>
            <w:tcW w:w="2126" w:type="dxa"/>
            <w:vAlign w:val="center"/>
            <w:hideMark/>
          </w:tcPr>
          <w:p w14:paraId="35C20F62" w14:textId="77777777" w:rsidR="00C0036A" w:rsidRPr="001B504A" w:rsidRDefault="00C0036A" w:rsidP="005C6210">
            <w:pPr>
              <w:pStyle w:val="Standard"/>
              <w:spacing w:line="276" w:lineRule="auto"/>
              <w:jc w:val="both"/>
            </w:pPr>
            <w:r w:rsidRPr="001B504A">
              <w:t>Aija Jermacāne</w:t>
            </w:r>
          </w:p>
          <w:p w14:paraId="70D4E609" w14:textId="77777777" w:rsidR="00C0036A" w:rsidRPr="001B504A" w:rsidRDefault="00C0036A" w:rsidP="005C6210">
            <w:pPr>
              <w:pStyle w:val="Standard"/>
              <w:spacing w:line="276" w:lineRule="auto"/>
              <w:jc w:val="both"/>
            </w:pPr>
          </w:p>
        </w:tc>
      </w:tr>
      <w:tr w:rsidR="00C0036A" w:rsidRPr="001B504A" w14:paraId="759C909C" w14:textId="77777777" w:rsidTr="005C6210">
        <w:tc>
          <w:tcPr>
            <w:tcW w:w="6946" w:type="dxa"/>
          </w:tcPr>
          <w:p w14:paraId="6C7F815C" w14:textId="77777777" w:rsidR="00C0036A" w:rsidRPr="001B504A" w:rsidRDefault="00C0036A" w:rsidP="005C6210">
            <w:pPr>
              <w:pStyle w:val="Standard"/>
              <w:spacing w:line="276" w:lineRule="auto"/>
              <w:jc w:val="both"/>
            </w:pPr>
          </w:p>
        </w:tc>
        <w:tc>
          <w:tcPr>
            <w:tcW w:w="2126" w:type="dxa"/>
            <w:vAlign w:val="center"/>
            <w:hideMark/>
          </w:tcPr>
          <w:p w14:paraId="7292A50C" w14:textId="77777777" w:rsidR="00C0036A" w:rsidRPr="001B504A" w:rsidRDefault="00C0036A" w:rsidP="005C6210">
            <w:pPr>
              <w:pStyle w:val="Standard"/>
              <w:spacing w:line="276" w:lineRule="auto"/>
              <w:jc w:val="both"/>
            </w:pPr>
            <w:r w:rsidRPr="001B504A">
              <w:t>Adrija Kasakovska</w:t>
            </w:r>
          </w:p>
          <w:p w14:paraId="7ED2BCA9" w14:textId="77777777" w:rsidR="00C0036A" w:rsidRPr="001B504A" w:rsidRDefault="00C0036A" w:rsidP="005C6210">
            <w:pPr>
              <w:pStyle w:val="Standard"/>
              <w:spacing w:line="276" w:lineRule="auto"/>
              <w:jc w:val="both"/>
            </w:pPr>
          </w:p>
        </w:tc>
      </w:tr>
      <w:tr w:rsidR="00C0036A" w:rsidRPr="001B504A" w14:paraId="04F3A1E8" w14:textId="77777777" w:rsidTr="005C6210">
        <w:tc>
          <w:tcPr>
            <w:tcW w:w="6946" w:type="dxa"/>
          </w:tcPr>
          <w:p w14:paraId="12649C32" w14:textId="77777777" w:rsidR="00C0036A" w:rsidRPr="001B504A" w:rsidRDefault="00C0036A" w:rsidP="005C6210">
            <w:pPr>
              <w:pStyle w:val="Standard"/>
              <w:spacing w:line="276" w:lineRule="auto"/>
              <w:jc w:val="both"/>
            </w:pPr>
          </w:p>
        </w:tc>
        <w:tc>
          <w:tcPr>
            <w:tcW w:w="2126" w:type="dxa"/>
            <w:vAlign w:val="center"/>
            <w:hideMark/>
          </w:tcPr>
          <w:p w14:paraId="38C8F6D1" w14:textId="77777777" w:rsidR="00C0036A" w:rsidRPr="001B504A" w:rsidRDefault="00C0036A" w:rsidP="005C6210">
            <w:pPr>
              <w:pStyle w:val="Standard"/>
              <w:spacing w:line="276" w:lineRule="auto"/>
              <w:jc w:val="both"/>
            </w:pPr>
            <w:r w:rsidRPr="001B504A">
              <w:t>Anda Kraukle</w:t>
            </w:r>
          </w:p>
          <w:p w14:paraId="10B182CD" w14:textId="77777777" w:rsidR="00C0036A" w:rsidRPr="001B504A" w:rsidRDefault="00C0036A" w:rsidP="005C6210">
            <w:pPr>
              <w:pStyle w:val="Standard"/>
              <w:spacing w:line="276" w:lineRule="auto"/>
              <w:jc w:val="both"/>
            </w:pPr>
          </w:p>
        </w:tc>
      </w:tr>
      <w:tr w:rsidR="00C0036A" w:rsidRPr="001B504A" w14:paraId="4CF62129" w14:textId="77777777" w:rsidTr="005C6210">
        <w:tc>
          <w:tcPr>
            <w:tcW w:w="6946" w:type="dxa"/>
          </w:tcPr>
          <w:p w14:paraId="1196F3F0" w14:textId="77777777" w:rsidR="00C0036A" w:rsidRPr="001B504A" w:rsidRDefault="00C0036A" w:rsidP="005C6210">
            <w:pPr>
              <w:pStyle w:val="Standard"/>
              <w:spacing w:line="276" w:lineRule="auto"/>
              <w:jc w:val="both"/>
            </w:pPr>
          </w:p>
        </w:tc>
        <w:tc>
          <w:tcPr>
            <w:tcW w:w="2126" w:type="dxa"/>
            <w:vAlign w:val="center"/>
            <w:hideMark/>
          </w:tcPr>
          <w:p w14:paraId="6718E992" w14:textId="77777777" w:rsidR="00C0036A" w:rsidRPr="001B504A" w:rsidRDefault="00C0036A" w:rsidP="005C6210">
            <w:pPr>
              <w:pStyle w:val="Standard"/>
              <w:spacing w:line="276" w:lineRule="auto"/>
              <w:jc w:val="both"/>
            </w:pPr>
            <w:r w:rsidRPr="001B504A">
              <w:t>Baiba Lielpētere</w:t>
            </w:r>
          </w:p>
          <w:p w14:paraId="41C56666" w14:textId="77777777" w:rsidR="00C0036A" w:rsidRPr="001B504A" w:rsidRDefault="00C0036A" w:rsidP="005C6210">
            <w:pPr>
              <w:pStyle w:val="Standard"/>
              <w:spacing w:line="276" w:lineRule="auto"/>
              <w:jc w:val="both"/>
            </w:pPr>
          </w:p>
        </w:tc>
      </w:tr>
      <w:tr w:rsidR="00C0036A" w:rsidRPr="001B504A" w14:paraId="1A2DB12C" w14:textId="77777777" w:rsidTr="005C6210">
        <w:tc>
          <w:tcPr>
            <w:tcW w:w="6946" w:type="dxa"/>
          </w:tcPr>
          <w:p w14:paraId="1962EE06" w14:textId="77777777" w:rsidR="00C0036A" w:rsidRPr="001B504A" w:rsidRDefault="00C0036A" w:rsidP="005C6210">
            <w:pPr>
              <w:pStyle w:val="Standard"/>
              <w:spacing w:line="276" w:lineRule="auto"/>
              <w:jc w:val="both"/>
            </w:pPr>
          </w:p>
        </w:tc>
        <w:tc>
          <w:tcPr>
            <w:tcW w:w="2126" w:type="dxa"/>
            <w:vAlign w:val="center"/>
            <w:hideMark/>
          </w:tcPr>
          <w:p w14:paraId="035224A4" w14:textId="77777777" w:rsidR="00C0036A" w:rsidRPr="001B504A" w:rsidRDefault="00C0036A" w:rsidP="005C6210">
            <w:pPr>
              <w:pStyle w:val="Standard"/>
              <w:spacing w:line="276" w:lineRule="auto"/>
              <w:jc w:val="both"/>
            </w:pPr>
            <w:r>
              <w:t>Jānis Grīnbergs</w:t>
            </w:r>
          </w:p>
          <w:p w14:paraId="01544D7F" w14:textId="77777777" w:rsidR="00C0036A" w:rsidRPr="001B504A" w:rsidRDefault="00C0036A" w:rsidP="005C6210">
            <w:pPr>
              <w:pStyle w:val="Standard"/>
              <w:spacing w:line="276" w:lineRule="auto"/>
              <w:jc w:val="both"/>
            </w:pPr>
          </w:p>
        </w:tc>
      </w:tr>
      <w:tr w:rsidR="00C0036A" w:rsidRPr="001B504A" w14:paraId="53A1F1D6" w14:textId="77777777" w:rsidTr="005C6210">
        <w:tc>
          <w:tcPr>
            <w:tcW w:w="6946" w:type="dxa"/>
          </w:tcPr>
          <w:p w14:paraId="65F299A7" w14:textId="77777777" w:rsidR="00C0036A" w:rsidRPr="001B504A" w:rsidRDefault="00C0036A" w:rsidP="005C6210">
            <w:pPr>
              <w:pStyle w:val="Standard"/>
              <w:spacing w:line="276" w:lineRule="auto"/>
              <w:jc w:val="both"/>
            </w:pPr>
          </w:p>
        </w:tc>
        <w:tc>
          <w:tcPr>
            <w:tcW w:w="2126" w:type="dxa"/>
            <w:vAlign w:val="center"/>
            <w:hideMark/>
          </w:tcPr>
          <w:p w14:paraId="26FD7CFC" w14:textId="77777777" w:rsidR="00C0036A" w:rsidRDefault="00C0036A" w:rsidP="005C6210">
            <w:pPr>
              <w:pStyle w:val="Standard"/>
              <w:spacing w:line="276" w:lineRule="auto"/>
              <w:jc w:val="both"/>
            </w:pPr>
            <w:r>
              <w:t>Diāna Makarova</w:t>
            </w:r>
          </w:p>
          <w:p w14:paraId="65B08904" w14:textId="77777777" w:rsidR="00C0036A" w:rsidRPr="001B504A" w:rsidRDefault="00C0036A" w:rsidP="005C6210">
            <w:pPr>
              <w:pStyle w:val="Standard"/>
              <w:spacing w:line="276" w:lineRule="auto"/>
              <w:jc w:val="both"/>
            </w:pPr>
            <w:r>
              <w:t>Aiva Daidere</w:t>
            </w:r>
          </w:p>
          <w:p w14:paraId="40854481" w14:textId="77777777" w:rsidR="00C0036A" w:rsidRPr="001B504A" w:rsidRDefault="00C0036A" w:rsidP="005C6210">
            <w:pPr>
              <w:pStyle w:val="Standard"/>
              <w:spacing w:line="276" w:lineRule="auto"/>
              <w:jc w:val="both"/>
            </w:pPr>
          </w:p>
        </w:tc>
      </w:tr>
      <w:tr w:rsidR="00C0036A" w:rsidRPr="001B504A" w14:paraId="551EC030" w14:textId="77777777" w:rsidTr="005C6210">
        <w:tc>
          <w:tcPr>
            <w:tcW w:w="6946" w:type="dxa"/>
          </w:tcPr>
          <w:p w14:paraId="06C78AF1" w14:textId="77777777" w:rsidR="00C0036A" w:rsidRPr="001B504A" w:rsidRDefault="00C0036A" w:rsidP="005C6210">
            <w:pPr>
              <w:pStyle w:val="Standard"/>
              <w:spacing w:line="276" w:lineRule="auto"/>
              <w:jc w:val="both"/>
            </w:pPr>
          </w:p>
        </w:tc>
        <w:tc>
          <w:tcPr>
            <w:tcW w:w="2126" w:type="dxa"/>
            <w:vAlign w:val="center"/>
            <w:hideMark/>
          </w:tcPr>
          <w:p w14:paraId="3029FE1E" w14:textId="77777777" w:rsidR="00C0036A" w:rsidRPr="001B504A" w:rsidRDefault="00C0036A" w:rsidP="005C6210">
            <w:pPr>
              <w:pStyle w:val="Standard"/>
              <w:spacing w:line="276" w:lineRule="auto"/>
              <w:jc w:val="both"/>
            </w:pPr>
            <w:r w:rsidRPr="001B504A">
              <w:t>Inese Laura Zemīte</w:t>
            </w:r>
          </w:p>
          <w:p w14:paraId="56069213" w14:textId="77777777" w:rsidR="00C0036A" w:rsidRPr="001B504A" w:rsidRDefault="00C0036A" w:rsidP="005C6210">
            <w:pPr>
              <w:pStyle w:val="Standard"/>
              <w:spacing w:line="276" w:lineRule="auto"/>
              <w:jc w:val="both"/>
            </w:pPr>
          </w:p>
        </w:tc>
      </w:tr>
    </w:tbl>
    <w:p w14:paraId="51EBB949" w14:textId="77777777" w:rsidR="00A207C8" w:rsidRDefault="00A207C8" w:rsidP="00A207C8">
      <w:pPr>
        <w:ind w:right="-1"/>
        <w:jc w:val="center"/>
        <w:rPr>
          <w:rFonts w:ascii="Times New Roman" w:hAnsi="Times New Roman" w:cs="Times New Roman"/>
          <w:sz w:val="24"/>
          <w:szCs w:val="24"/>
        </w:rPr>
      </w:pPr>
    </w:p>
    <w:p w14:paraId="5F933F78" w14:textId="77777777" w:rsidR="00487180" w:rsidRPr="001B504A" w:rsidRDefault="00487180" w:rsidP="00622031">
      <w:pPr>
        <w:suppressAutoHyphens/>
        <w:jc w:val="center"/>
      </w:pPr>
    </w:p>
    <w:sectPr w:rsidR="00487180" w:rsidRPr="001B504A" w:rsidSect="005926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0265" w14:textId="77777777" w:rsidR="00592684" w:rsidRDefault="00592684" w:rsidP="006F5404">
      <w:pPr>
        <w:spacing w:after="0" w:line="240" w:lineRule="auto"/>
      </w:pPr>
      <w:r>
        <w:separator/>
      </w:r>
    </w:p>
  </w:endnote>
  <w:endnote w:type="continuationSeparator" w:id="0">
    <w:p w14:paraId="7F56F1C7" w14:textId="77777777" w:rsidR="00592684" w:rsidRDefault="00592684" w:rsidP="006F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FB48" w14:textId="77777777" w:rsidR="00592684" w:rsidRDefault="00592684" w:rsidP="006F5404">
      <w:pPr>
        <w:spacing w:after="0" w:line="240" w:lineRule="auto"/>
      </w:pPr>
      <w:r>
        <w:separator/>
      </w:r>
    </w:p>
  </w:footnote>
  <w:footnote w:type="continuationSeparator" w:id="0">
    <w:p w14:paraId="3A358839" w14:textId="77777777" w:rsidR="00592684" w:rsidRDefault="00592684" w:rsidP="006F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2303078"/>
      <w:docPartObj>
        <w:docPartGallery w:val="Page Numbers (Top of Page)"/>
        <w:docPartUnique/>
      </w:docPartObj>
    </w:sdtPr>
    <w:sdtEndPr>
      <w:rPr>
        <w:noProof/>
      </w:rPr>
    </w:sdtEndPr>
    <w:sdtContent>
      <w:p w14:paraId="65A8D116" w14:textId="77777777" w:rsidR="006F5404" w:rsidRDefault="006F5404">
        <w:pPr>
          <w:pStyle w:val="Galvene"/>
          <w:jc w:val="center"/>
        </w:pPr>
        <w:r>
          <w:fldChar w:fldCharType="begin"/>
        </w:r>
        <w:r>
          <w:instrText xml:space="preserve"> PAGE   \* MERGEFORMAT </w:instrText>
        </w:r>
        <w:r>
          <w:fldChar w:fldCharType="separate"/>
        </w:r>
        <w:r w:rsidR="006E4EE9">
          <w:rPr>
            <w:noProof/>
          </w:rPr>
          <w:t>3</w:t>
        </w:r>
        <w:r>
          <w:rPr>
            <w:noProof/>
          </w:rPr>
          <w:fldChar w:fldCharType="end"/>
        </w:r>
      </w:p>
    </w:sdtContent>
  </w:sdt>
  <w:p w14:paraId="186A2D82" w14:textId="77777777" w:rsidR="006F5404" w:rsidRDefault="006F540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C5"/>
    <w:rsid w:val="00003262"/>
    <w:rsid w:val="000078B7"/>
    <w:rsid w:val="0004018A"/>
    <w:rsid w:val="00042995"/>
    <w:rsid w:val="00053BC3"/>
    <w:rsid w:val="00054AD9"/>
    <w:rsid w:val="000825AB"/>
    <w:rsid w:val="00087C95"/>
    <w:rsid w:val="000A5C01"/>
    <w:rsid w:val="00120ECF"/>
    <w:rsid w:val="00165C00"/>
    <w:rsid w:val="001801FF"/>
    <w:rsid w:val="001B504A"/>
    <w:rsid w:val="001E686F"/>
    <w:rsid w:val="00226B69"/>
    <w:rsid w:val="0027508E"/>
    <w:rsid w:val="002820D4"/>
    <w:rsid w:val="002B0548"/>
    <w:rsid w:val="002B2AB3"/>
    <w:rsid w:val="003D6DAC"/>
    <w:rsid w:val="003E1664"/>
    <w:rsid w:val="003F11B4"/>
    <w:rsid w:val="00487180"/>
    <w:rsid w:val="004D7089"/>
    <w:rsid w:val="00592684"/>
    <w:rsid w:val="0059308E"/>
    <w:rsid w:val="005B21FA"/>
    <w:rsid w:val="005C16C5"/>
    <w:rsid w:val="005C7A67"/>
    <w:rsid w:val="00622031"/>
    <w:rsid w:val="00622509"/>
    <w:rsid w:val="006A69DF"/>
    <w:rsid w:val="006A6C98"/>
    <w:rsid w:val="006E4EE9"/>
    <w:rsid w:val="006F5404"/>
    <w:rsid w:val="00704A39"/>
    <w:rsid w:val="007103EF"/>
    <w:rsid w:val="00712A88"/>
    <w:rsid w:val="00713FBA"/>
    <w:rsid w:val="007B60BF"/>
    <w:rsid w:val="007E223B"/>
    <w:rsid w:val="007F0CBB"/>
    <w:rsid w:val="007F36C6"/>
    <w:rsid w:val="00806BBC"/>
    <w:rsid w:val="0081169B"/>
    <w:rsid w:val="00860440"/>
    <w:rsid w:val="00971AB6"/>
    <w:rsid w:val="0099016A"/>
    <w:rsid w:val="009F1ACD"/>
    <w:rsid w:val="009F1B8D"/>
    <w:rsid w:val="00A013E7"/>
    <w:rsid w:val="00A207C8"/>
    <w:rsid w:val="00A8364A"/>
    <w:rsid w:val="00AB2653"/>
    <w:rsid w:val="00AC1204"/>
    <w:rsid w:val="00AC4E98"/>
    <w:rsid w:val="00B40FEF"/>
    <w:rsid w:val="00B6434B"/>
    <w:rsid w:val="00B7347B"/>
    <w:rsid w:val="00BC17AB"/>
    <w:rsid w:val="00C0036A"/>
    <w:rsid w:val="00C01D4E"/>
    <w:rsid w:val="00C31B59"/>
    <w:rsid w:val="00C44E9C"/>
    <w:rsid w:val="00C51DBF"/>
    <w:rsid w:val="00C97A84"/>
    <w:rsid w:val="00CD68C2"/>
    <w:rsid w:val="00CD7D57"/>
    <w:rsid w:val="00D157D2"/>
    <w:rsid w:val="00D6018D"/>
    <w:rsid w:val="00D61D2A"/>
    <w:rsid w:val="00D86670"/>
    <w:rsid w:val="00DA5FED"/>
    <w:rsid w:val="00E93334"/>
    <w:rsid w:val="00EC2A31"/>
    <w:rsid w:val="00EE3863"/>
    <w:rsid w:val="00F34C2A"/>
    <w:rsid w:val="00F45EE8"/>
    <w:rsid w:val="00F91DF9"/>
    <w:rsid w:val="00FB73DF"/>
    <w:rsid w:val="00FC154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E0F5"/>
  <w15:docId w15:val="{03115032-A91F-47D4-86EF-1487E9D5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6C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C16C5"/>
    <w:rPr>
      <w:color w:val="0000FF" w:themeColor="hyperlink"/>
      <w:u w:val="single"/>
    </w:rPr>
  </w:style>
  <w:style w:type="paragraph" w:styleId="Paraststmeklis">
    <w:name w:val="Normal (Web)"/>
    <w:basedOn w:val="Parasts"/>
    <w:uiPriority w:val="99"/>
    <w:unhideWhenUsed/>
    <w:rsid w:val="005C16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unhideWhenUsed/>
    <w:rsid w:val="005C16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16C5"/>
    <w:rPr>
      <w:sz w:val="20"/>
      <w:szCs w:val="20"/>
    </w:rPr>
  </w:style>
  <w:style w:type="paragraph" w:customStyle="1" w:styleId="Standard">
    <w:name w:val="Standard"/>
    <w:uiPriority w:val="99"/>
    <w:semiHidden/>
    <w:rsid w:val="005C16C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Komentraatsauce">
    <w:name w:val="annotation reference"/>
    <w:basedOn w:val="Noklusjumarindkopasfonts"/>
    <w:uiPriority w:val="99"/>
    <w:semiHidden/>
    <w:unhideWhenUsed/>
    <w:rsid w:val="005C16C5"/>
    <w:rPr>
      <w:sz w:val="16"/>
      <w:szCs w:val="16"/>
    </w:rPr>
  </w:style>
  <w:style w:type="character" w:customStyle="1" w:styleId="Noklusjumarindkopasfonts1">
    <w:name w:val="Noklusējuma rindkopas fonts1"/>
    <w:rsid w:val="005C16C5"/>
  </w:style>
  <w:style w:type="table" w:styleId="Reatabula">
    <w:name w:val="Table Grid"/>
    <w:basedOn w:val="Parastatabula"/>
    <w:uiPriority w:val="59"/>
    <w:rsid w:val="005C16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C16C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16C5"/>
    <w:rPr>
      <w:rFonts w:ascii="Tahoma" w:hAnsi="Tahoma" w:cs="Tahoma"/>
      <w:sz w:val="16"/>
      <w:szCs w:val="16"/>
    </w:rPr>
  </w:style>
  <w:style w:type="paragraph" w:styleId="Galvene">
    <w:name w:val="header"/>
    <w:basedOn w:val="Parasts"/>
    <w:link w:val="GalveneRakstz"/>
    <w:uiPriority w:val="99"/>
    <w:unhideWhenUsed/>
    <w:rsid w:val="006F54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5404"/>
  </w:style>
  <w:style w:type="paragraph" w:styleId="Kjene">
    <w:name w:val="footer"/>
    <w:basedOn w:val="Parasts"/>
    <w:link w:val="KjeneRakstz"/>
    <w:uiPriority w:val="99"/>
    <w:unhideWhenUsed/>
    <w:rsid w:val="006F54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5404"/>
  </w:style>
  <w:style w:type="paragraph" w:styleId="Bezatstarpm">
    <w:name w:val="No Spacing"/>
    <w:uiPriority w:val="1"/>
    <w:qFormat/>
    <w:rsid w:val="00DA5FED"/>
    <w:pPr>
      <w:spacing w:after="0" w:line="240" w:lineRule="auto"/>
    </w:pPr>
    <w:rPr>
      <w:kern w:val="2"/>
      <w14:ligatures w14:val="standardContextual"/>
    </w:rPr>
  </w:style>
  <w:style w:type="paragraph" w:customStyle="1" w:styleId="pf0">
    <w:name w:val="pf0"/>
    <w:basedOn w:val="Parasts"/>
    <w:rsid w:val="00A013E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A013E7"/>
    <w:rPr>
      <w:rFonts w:ascii="Segoe UI" w:hAnsi="Segoe UI" w:cs="Segoe UI" w:hint="default"/>
      <w:sz w:val="18"/>
      <w:szCs w:val="18"/>
    </w:rPr>
  </w:style>
  <w:style w:type="paragraph" w:customStyle="1" w:styleId="tv213">
    <w:name w:val="tv213"/>
    <w:basedOn w:val="Parasts"/>
    <w:rsid w:val="00AB26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7F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4831">
      <w:bodyDiv w:val="1"/>
      <w:marLeft w:val="0"/>
      <w:marRight w:val="0"/>
      <w:marTop w:val="0"/>
      <w:marBottom w:val="0"/>
      <w:divBdr>
        <w:top w:val="none" w:sz="0" w:space="0" w:color="auto"/>
        <w:left w:val="none" w:sz="0" w:space="0" w:color="auto"/>
        <w:bottom w:val="none" w:sz="0" w:space="0" w:color="auto"/>
        <w:right w:val="none" w:sz="0" w:space="0" w:color="auto"/>
      </w:divBdr>
    </w:div>
    <w:div w:id="123738178">
      <w:bodyDiv w:val="1"/>
      <w:marLeft w:val="0"/>
      <w:marRight w:val="0"/>
      <w:marTop w:val="0"/>
      <w:marBottom w:val="0"/>
      <w:divBdr>
        <w:top w:val="none" w:sz="0" w:space="0" w:color="auto"/>
        <w:left w:val="none" w:sz="0" w:space="0" w:color="auto"/>
        <w:bottom w:val="none" w:sz="0" w:space="0" w:color="auto"/>
        <w:right w:val="none" w:sz="0" w:space="0" w:color="auto"/>
      </w:divBdr>
    </w:div>
    <w:div w:id="804662674">
      <w:bodyDiv w:val="1"/>
      <w:marLeft w:val="0"/>
      <w:marRight w:val="0"/>
      <w:marTop w:val="0"/>
      <w:marBottom w:val="0"/>
      <w:divBdr>
        <w:top w:val="none" w:sz="0" w:space="0" w:color="auto"/>
        <w:left w:val="none" w:sz="0" w:space="0" w:color="auto"/>
        <w:bottom w:val="none" w:sz="0" w:space="0" w:color="auto"/>
        <w:right w:val="none" w:sz="0" w:space="0" w:color="auto"/>
      </w:divBdr>
    </w:div>
    <w:div w:id="814293699">
      <w:bodyDiv w:val="1"/>
      <w:marLeft w:val="0"/>
      <w:marRight w:val="0"/>
      <w:marTop w:val="0"/>
      <w:marBottom w:val="0"/>
      <w:divBdr>
        <w:top w:val="none" w:sz="0" w:space="0" w:color="auto"/>
        <w:left w:val="none" w:sz="0" w:space="0" w:color="auto"/>
        <w:bottom w:val="none" w:sz="0" w:space="0" w:color="auto"/>
        <w:right w:val="none" w:sz="0" w:space="0" w:color="auto"/>
      </w:divBdr>
    </w:div>
    <w:div w:id="818115770">
      <w:bodyDiv w:val="1"/>
      <w:marLeft w:val="0"/>
      <w:marRight w:val="0"/>
      <w:marTop w:val="0"/>
      <w:marBottom w:val="0"/>
      <w:divBdr>
        <w:top w:val="none" w:sz="0" w:space="0" w:color="auto"/>
        <w:left w:val="none" w:sz="0" w:space="0" w:color="auto"/>
        <w:bottom w:val="none" w:sz="0" w:space="0" w:color="auto"/>
        <w:right w:val="none" w:sz="0" w:space="0" w:color="auto"/>
      </w:divBdr>
    </w:div>
    <w:div w:id="930511104">
      <w:bodyDiv w:val="1"/>
      <w:marLeft w:val="0"/>
      <w:marRight w:val="0"/>
      <w:marTop w:val="0"/>
      <w:marBottom w:val="0"/>
      <w:divBdr>
        <w:top w:val="none" w:sz="0" w:space="0" w:color="auto"/>
        <w:left w:val="none" w:sz="0" w:space="0" w:color="auto"/>
        <w:bottom w:val="none" w:sz="0" w:space="0" w:color="auto"/>
        <w:right w:val="none" w:sz="0" w:space="0" w:color="auto"/>
      </w:divBdr>
    </w:div>
    <w:div w:id="1148745742">
      <w:bodyDiv w:val="1"/>
      <w:marLeft w:val="0"/>
      <w:marRight w:val="0"/>
      <w:marTop w:val="0"/>
      <w:marBottom w:val="0"/>
      <w:divBdr>
        <w:top w:val="none" w:sz="0" w:space="0" w:color="auto"/>
        <w:left w:val="none" w:sz="0" w:space="0" w:color="auto"/>
        <w:bottom w:val="none" w:sz="0" w:space="0" w:color="auto"/>
        <w:right w:val="none" w:sz="0" w:space="0" w:color="auto"/>
      </w:divBdr>
    </w:div>
    <w:div w:id="13201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4193-491B-4A7A-B26B-90A60D03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7116</Words>
  <Characters>4057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Skrauple</dc:creator>
  <cp:lastModifiedBy>Liene Jākobsone</cp:lastModifiedBy>
  <cp:revision>16</cp:revision>
  <cp:lastPrinted>2024-04-16T12:26:00Z</cp:lastPrinted>
  <dcterms:created xsi:type="dcterms:W3CDTF">2024-04-16T12:28:00Z</dcterms:created>
  <dcterms:modified xsi:type="dcterms:W3CDTF">2024-04-18T11:58:00Z</dcterms:modified>
</cp:coreProperties>
</file>