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44A" w:rsidRPr="00AC344A" w:rsidRDefault="00AC344A" w:rsidP="00AC344A">
      <w:pPr>
        <w:widowControl/>
        <w:suppressAutoHyphens w:val="0"/>
        <w:spacing w:line="360" w:lineRule="auto"/>
        <w:jc w:val="center"/>
        <w:rPr>
          <w:rFonts w:eastAsiaTheme="minorHAnsi" w:cstheme="minorBidi"/>
          <w:b/>
          <w:kern w:val="0"/>
          <w:lang w:eastAsia="en-US" w:bidi="ar-SA"/>
        </w:rPr>
      </w:pPr>
      <w:r w:rsidRPr="00AC344A">
        <w:rPr>
          <w:rFonts w:eastAsiaTheme="minorHAnsi" w:cstheme="minorBidi"/>
          <w:b/>
          <w:kern w:val="0"/>
          <w:lang w:eastAsia="en-US" w:bidi="ar-SA"/>
        </w:rPr>
        <w:t>Tiesnešu ētikas komisija</w:t>
      </w:r>
    </w:p>
    <w:p w:rsidR="00AC344A" w:rsidRDefault="00AC344A" w:rsidP="00AC344A">
      <w:pPr>
        <w:widowControl/>
        <w:suppressAutoHyphens w:val="0"/>
        <w:spacing w:line="360" w:lineRule="auto"/>
        <w:jc w:val="center"/>
        <w:rPr>
          <w:rFonts w:eastAsiaTheme="minorHAnsi" w:cstheme="minorBidi"/>
          <w:b/>
          <w:spacing w:val="20"/>
          <w:kern w:val="0"/>
          <w:sz w:val="32"/>
          <w:szCs w:val="32"/>
          <w:lang w:eastAsia="en-US" w:bidi="ar-SA"/>
        </w:rPr>
      </w:pPr>
      <w:r w:rsidRPr="00AC344A">
        <w:rPr>
          <w:rFonts w:eastAsiaTheme="minorHAnsi" w:cstheme="minorBidi"/>
          <w:b/>
          <w:spacing w:val="20"/>
          <w:kern w:val="0"/>
          <w:sz w:val="32"/>
          <w:szCs w:val="32"/>
          <w:lang w:eastAsia="en-US" w:bidi="ar-SA"/>
        </w:rPr>
        <w:t>ATZINUMS</w:t>
      </w:r>
    </w:p>
    <w:p w:rsidR="00C6609E" w:rsidRPr="00AC344A" w:rsidRDefault="00C6609E" w:rsidP="00AC344A">
      <w:pPr>
        <w:tabs>
          <w:tab w:val="right" w:pos="9071"/>
        </w:tabs>
        <w:spacing w:line="360" w:lineRule="auto"/>
        <w:rPr>
          <w:rFonts w:cs="Times New Roman"/>
        </w:rPr>
      </w:pPr>
      <w:r w:rsidRPr="00AC344A">
        <w:rPr>
          <w:rFonts w:cs="Times New Roman"/>
        </w:rPr>
        <w:t xml:space="preserve">Rīgā </w:t>
      </w:r>
      <w:r w:rsidR="00AC344A">
        <w:rPr>
          <w:rFonts w:cs="Times New Roman"/>
        </w:rPr>
        <w:tab/>
      </w:r>
      <w:r w:rsidRPr="00AC344A">
        <w:rPr>
          <w:rFonts w:cs="Times New Roman"/>
        </w:rPr>
        <w:t xml:space="preserve">2018.gada </w:t>
      </w:r>
      <w:r w:rsidR="00AC344A">
        <w:rPr>
          <w:rFonts w:cs="Times New Roman"/>
        </w:rPr>
        <w:t>13.</w:t>
      </w:r>
      <w:r w:rsidRPr="00AC344A">
        <w:rPr>
          <w:rFonts w:cs="Times New Roman"/>
        </w:rPr>
        <w:t>jūlijā</w:t>
      </w:r>
    </w:p>
    <w:p w:rsidR="00355886" w:rsidRDefault="00355886" w:rsidP="00355886">
      <w:pPr>
        <w:autoSpaceDE w:val="0"/>
        <w:spacing w:line="360" w:lineRule="auto"/>
        <w:jc w:val="both"/>
        <w:rPr>
          <w:rFonts w:cs="Times New Roman"/>
        </w:rPr>
      </w:pPr>
    </w:p>
    <w:p w:rsidR="005312FB" w:rsidRPr="00AC344A" w:rsidRDefault="00C6609E" w:rsidP="00355886">
      <w:pPr>
        <w:autoSpaceDE w:val="0"/>
        <w:spacing w:line="360" w:lineRule="auto"/>
        <w:ind w:firstLine="695"/>
        <w:jc w:val="both"/>
        <w:rPr>
          <w:rFonts w:cs="Times New Roman"/>
        </w:rPr>
      </w:pPr>
      <w:r w:rsidRPr="00AC344A">
        <w:rPr>
          <w:rFonts w:cs="Times New Roman"/>
        </w:rPr>
        <w:t>[1]</w:t>
      </w:r>
      <w:r w:rsidR="00AC344A">
        <w:rPr>
          <w:rFonts w:cs="Times New Roman"/>
        </w:rPr>
        <w:t> </w:t>
      </w:r>
      <w:r w:rsidR="00494872" w:rsidRPr="00AC344A">
        <w:rPr>
          <w:rFonts w:eastAsia="Times New Roman" w:cs="Times New Roman"/>
          <w:color w:val="000000"/>
        </w:rPr>
        <w:t xml:space="preserve">Tiesnešu ētikas komisija saņēmusi </w:t>
      </w:r>
      <w:r w:rsidR="003357CA">
        <w:rPr>
          <w:rFonts w:eastAsia="Times New Roman" w:cs="Times New Roman"/>
          <w:color w:val="000000"/>
        </w:rPr>
        <w:t xml:space="preserve">tiesas priekšsēdētājas </w:t>
      </w:r>
      <w:r w:rsidR="00494872" w:rsidRPr="00AC344A">
        <w:rPr>
          <w:rFonts w:eastAsia="Times New Roman" w:cs="Times New Roman"/>
          <w:color w:val="000000"/>
        </w:rPr>
        <w:t>iesniegumu saistībā ar zvērinātas advokātes sūdzību par tiesnesi, kurā lūgts izvērtēt tiesneša iespējamo neētisko rīcību</w:t>
      </w:r>
      <w:r w:rsidR="00416F0C" w:rsidRPr="00AC344A">
        <w:rPr>
          <w:rFonts w:eastAsia="Times New Roman" w:cs="Times New Roman"/>
          <w:color w:val="000000"/>
        </w:rPr>
        <w:t xml:space="preserve"> </w:t>
      </w:r>
      <w:r w:rsidR="00494872" w:rsidRPr="00AC344A">
        <w:rPr>
          <w:rFonts w:eastAsia="Times New Roman" w:cs="Times New Roman"/>
          <w:color w:val="000000"/>
        </w:rPr>
        <w:t>un nepieciešamības gadījumā lemt jautājumu par disciplinārlietas ierosināšanu.</w:t>
      </w:r>
    </w:p>
    <w:p w:rsidR="00265085" w:rsidRPr="00AC344A" w:rsidRDefault="00A525EA" w:rsidP="00AC344A">
      <w:pPr>
        <w:autoSpaceDE w:val="0"/>
        <w:spacing w:line="360" w:lineRule="auto"/>
        <w:ind w:firstLine="695"/>
        <w:jc w:val="both"/>
        <w:rPr>
          <w:rFonts w:cs="Times New Roman"/>
        </w:rPr>
      </w:pPr>
      <w:r w:rsidRPr="00AC344A">
        <w:rPr>
          <w:rFonts w:cs="Times New Roman"/>
        </w:rPr>
        <w:t xml:space="preserve"> T</w:t>
      </w:r>
      <w:r w:rsidR="005312FB" w:rsidRPr="00AC344A">
        <w:rPr>
          <w:rFonts w:cs="Times New Roman"/>
        </w:rPr>
        <w:t>iesas priekšsēdētājas iesnieg</w:t>
      </w:r>
      <w:bookmarkStart w:id="0" w:name="_GoBack"/>
      <w:bookmarkEnd w:id="0"/>
      <w:r w:rsidR="005312FB" w:rsidRPr="00AC344A">
        <w:rPr>
          <w:rFonts w:cs="Times New Roman"/>
        </w:rPr>
        <w:t xml:space="preserve">umā </w:t>
      </w:r>
      <w:r w:rsidR="003A2EEF" w:rsidRPr="00AC344A">
        <w:rPr>
          <w:rFonts w:cs="Times New Roman"/>
        </w:rPr>
        <w:t>norādīts, ka</w:t>
      </w:r>
      <w:r w:rsidR="00F63A32" w:rsidRPr="00AC344A">
        <w:rPr>
          <w:rFonts w:cs="Times New Roman"/>
        </w:rPr>
        <w:t>,</w:t>
      </w:r>
      <w:r w:rsidR="003A2EEF" w:rsidRPr="00AC344A">
        <w:rPr>
          <w:rFonts w:cs="Times New Roman"/>
        </w:rPr>
        <w:t xml:space="preserve"> pārbaudes ietvaros</w:t>
      </w:r>
      <w:r w:rsidR="005312FB" w:rsidRPr="00AC344A">
        <w:rPr>
          <w:rFonts w:cs="Times New Roman"/>
        </w:rPr>
        <w:t xml:space="preserve"> noklausoties tiesas sēdes audioprotokolu civillietā, konstatēti iespējami tiesnešu ētikas normu pārkāpumi tiesne</w:t>
      </w:r>
      <w:r w:rsidR="009D0FC2" w:rsidRPr="00AC344A">
        <w:rPr>
          <w:rFonts w:cs="Times New Roman"/>
        </w:rPr>
        <w:t>ša rīcībā un uzvedībā.</w:t>
      </w:r>
    </w:p>
    <w:p w:rsidR="009D0FC2" w:rsidRPr="00AC344A" w:rsidRDefault="009D0FC2" w:rsidP="00AC344A">
      <w:pPr>
        <w:autoSpaceDE w:val="0"/>
        <w:spacing w:line="360" w:lineRule="auto"/>
        <w:ind w:firstLine="695"/>
        <w:jc w:val="both"/>
        <w:rPr>
          <w:rFonts w:cs="Times New Roman"/>
        </w:rPr>
      </w:pPr>
    </w:p>
    <w:p w:rsidR="00057297" w:rsidRPr="00AC344A" w:rsidRDefault="00A525EA" w:rsidP="00355886">
      <w:pPr>
        <w:autoSpaceDE w:val="0"/>
        <w:spacing w:line="360" w:lineRule="auto"/>
        <w:ind w:firstLine="695"/>
        <w:jc w:val="both"/>
        <w:rPr>
          <w:rFonts w:eastAsia="Times New Roman" w:cs="Times New Roman"/>
          <w:color w:val="000000"/>
        </w:rPr>
      </w:pPr>
      <w:r w:rsidRPr="00AC344A">
        <w:rPr>
          <w:rFonts w:cs="Times New Roman"/>
        </w:rPr>
        <w:t>[</w:t>
      </w:r>
      <w:r w:rsidR="003A2EEF" w:rsidRPr="00AC344A">
        <w:rPr>
          <w:rFonts w:cs="Times New Roman"/>
        </w:rPr>
        <w:t>2</w:t>
      </w:r>
      <w:r w:rsidR="005312FB" w:rsidRPr="00AC344A">
        <w:rPr>
          <w:rFonts w:cs="Times New Roman"/>
        </w:rPr>
        <w:t>]</w:t>
      </w:r>
      <w:r w:rsidR="00AC344A">
        <w:rPr>
          <w:rFonts w:cs="Times New Roman"/>
        </w:rPr>
        <w:t> </w:t>
      </w:r>
      <w:r w:rsidR="005312FB" w:rsidRPr="00AC344A">
        <w:rPr>
          <w:rFonts w:cs="Times New Roman"/>
        </w:rPr>
        <w:t xml:space="preserve">Zvērināta advokāte </w:t>
      </w:r>
      <w:r w:rsidR="005312FB" w:rsidRPr="00AC344A">
        <w:rPr>
          <w:rFonts w:eastAsia="Times New Roman" w:cs="Times New Roman"/>
          <w:color w:val="000000"/>
        </w:rPr>
        <w:t xml:space="preserve">sūdzībā norāda, ka tiesas sēdē, kurā </w:t>
      </w:r>
      <w:r w:rsidR="00057297" w:rsidRPr="00AC344A">
        <w:rPr>
          <w:rFonts w:eastAsia="Times New Roman" w:cs="Times New Roman"/>
          <w:color w:val="000000"/>
        </w:rPr>
        <w:t xml:space="preserve">izskatīja prasītājas pieteikumu par pagaidu aizsardzību pret vardarbību, viņa </w:t>
      </w:r>
      <w:r w:rsidR="005312FB" w:rsidRPr="00AC344A">
        <w:rPr>
          <w:rFonts w:eastAsia="Times New Roman" w:cs="Times New Roman"/>
          <w:color w:val="000000"/>
        </w:rPr>
        <w:t>piedalīj</w:t>
      </w:r>
      <w:r w:rsidR="00057297" w:rsidRPr="00AC344A">
        <w:rPr>
          <w:rFonts w:eastAsia="Times New Roman" w:cs="Times New Roman"/>
          <w:color w:val="000000"/>
        </w:rPr>
        <w:t>ās</w:t>
      </w:r>
      <w:r w:rsidR="005312FB" w:rsidRPr="00AC344A">
        <w:rPr>
          <w:rFonts w:eastAsia="Times New Roman" w:cs="Times New Roman"/>
          <w:color w:val="000000"/>
        </w:rPr>
        <w:t xml:space="preserve"> kā prasītāja</w:t>
      </w:r>
      <w:r w:rsidR="00057297" w:rsidRPr="00AC344A">
        <w:rPr>
          <w:rFonts w:eastAsia="Times New Roman" w:cs="Times New Roman"/>
          <w:color w:val="000000"/>
        </w:rPr>
        <w:t>s</w:t>
      </w:r>
      <w:r w:rsidR="005312FB" w:rsidRPr="00AC344A">
        <w:rPr>
          <w:rFonts w:eastAsia="Times New Roman" w:cs="Times New Roman"/>
          <w:color w:val="000000"/>
        </w:rPr>
        <w:t xml:space="preserve"> pārstāv</w:t>
      </w:r>
      <w:r w:rsidR="00057297" w:rsidRPr="00AC344A">
        <w:rPr>
          <w:rFonts w:eastAsia="Times New Roman" w:cs="Times New Roman"/>
          <w:color w:val="000000"/>
        </w:rPr>
        <w:t>e.</w:t>
      </w:r>
      <w:r w:rsidR="005312FB" w:rsidRPr="00AC344A">
        <w:rPr>
          <w:rFonts w:eastAsia="Times New Roman" w:cs="Times New Roman"/>
          <w:color w:val="000000"/>
        </w:rPr>
        <w:t xml:space="preserve"> </w:t>
      </w:r>
    </w:p>
    <w:p w:rsidR="00057297" w:rsidRPr="00AC344A" w:rsidRDefault="00057297" w:rsidP="00AC344A">
      <w:pPr>
        <w:autoSpaceDE w:val="0"/>
        <w:spacing w:line="360" w:lineRule="auto"/>
        <w:ind w:firstLine="695"/>
        <w:jc w:val="both"/>
        <w:rPr>
          <w:rFonts w:eastAsia="Times New Roman" w:cs="Times New Roman"/>
          <w:color w:val="000000"/>
        </w:rPr>
      </w:pPr>
      <w:r w:rsidRPr="00AC344A">
        <w:rPr>
          <w:rFonts w:eastAsia="Times New Roman" w:cs="Times New Roman"/>
          <w:color w:val="000000"/>
        </w:rPr>
        <w:t>Tiesnesis jau sēdes sākumā un visu tiesas sēdi neiecietīgi izturējās pret prasītāju, morāli ietekmējot viņu un norādot uz pieteikuma nepamatotību. Tiesnesis ierobežoja prasītājas juridiskās palīdzības sniedzējas tiesības uzdot jautājumus lietas dalībniekiem, pārtraucot viņu un/vai noraidot jautājumus, kas tieši attiecas uz izskatāmo lietu, t.i., vardarbīgu izturēšanos pret prasītāju un viņas mazgadīgajiem bērniem.</w:t>
      </w:r>
    </w:p>
    <w:p w:rsidR="00057297" w:rsidRPr="00AC344A" w:rsidRDefault="00057297" w:rsidP="00AC344A">
      <w:pPr>
        <w:autoSpaceDE w:val="0"/>
        <w:spacing w:line="360" w:lineRule="auto"/>
        <w:ind w:firstLine="695"/>
        <w:jc w:val="both"/>
        <w:rPr>
          <w:rFonts w:eastAsia="Times New Roman" w:cs="Times New Roman"/>
          <w:color w:val="000000"/>
        </w:rPr>
      </w:pPr>
      <w:r w:rsidRPr="00AC344A">
        <w:rPr>
          <w:rFonts w:eastAsia="Times New Roman" w:cs="Times New Roman"/>
          <w:color w:val="000000"/>
        </w:rPr>
        <w:t>Sūdzības iesniedzēja norāda, ka tiesas sēdes gaita tika fiksēta audioierakstā, tāpēc sūdzībā netiek izklāstīta tiesneša rīcība, jo par to var pārliecināties, noklausoties audioierakstu.</w:t>
      </w:r>
    </w:p>
    <w:p w:rsidR="00265085" w:rsidRPr="00AC344A" w:rsidRDefault="00265085" w:rsidP="00AC344A">
      <w:pPr>
        <w:autoSpaceDE w:val="0"/>
        <w:spacing w:line="360" w:lineRule="auto"/>
        <w:ind w:firstLine="695"/>
        <w:jc w:val="both"/>
        <w:rPr>
          <w:rFonts w:eastAsia="Times New Roman" w:cs="Times New Roman"/>
          <w:color w:val="000000"/>
        </w:rPr>
      </w:pPr>
    </w:p>
    <w:p w:rsidR="00ED374B" w:rsidRPr="00AC344A" w:rsidRDefault="003A2EEF" w:rsidP="00355886">
      <w:pPr>
        <w:autoSpaceDE w:val="0"/>
        <w:spacing w:line="360" w:lineRule="auto"/>
        <w:ind w:firstLine="695"/>
        <w:jc w:val="both"/>
        <w:rPr>
          <w:rFonts w:cs="Times New Roman"/>
        </w:rPr>
      </w:pPr>
      <w:r w:rsidRPr="00AC344A">
        <w:rPr>
          <w:rFonts w:cs="Times New Roman"/>
        </w:rPr>
        <w:t>[3</w:t>
      </w:r>
      <w:r w:rsidR="00ED374B" w:rsidRPr="00AC344A">
        <w:rPr>
          <w:rFonts w:cs="Times New Roman"/>
        </w:rPr>
        <w:t>]</w:t>
      </w:r>
      <w:r w:rsidR="00AC344A">
        <w:rPr>
          <w:rFonts w:cs="Times New Roman"/>
        </w:rPr>
        <w:t> </w:t>
      </w:r>
      <w:r w:rsidR="00ED374B" w:rsidRPr="00AC344A">
        <w:rPr>
          <w:rFonts w:cs="Times New Roman"/>
        </w:rPr>
        <w:t xml:space="preserve">Tiesas priekšsēdētāja, </w:t>
      </w:r>
      <w:r w:rsidR="00ED374B" w:rsidRPr="00AC344A">
        <w:rPr>
          <w:rFonts w:eastAsia="Times New Roman" w:cs="Times New Roman"/>
          <w:color w:val="000000"/>
        </w:rPr>
        <w:t>lūdzot izvērtēt tiesneša iespējamo neētisko rīcību un nepieciešamības gadījumā lemt jautājumu par disciplinārlietas ierosināšanu, sniegusi papildus skaidrojumu par konkrētiem apstākļiem, kas liecina par tiesneša iespējami neētisku rīcību tiesas sēdē.</w:t>
      </w:r>
    </w:p>
    <w:p w:rsidR="00ED374B" w:rsidRPr="00AC344A" w:rsidRDefault="003A2EEF" w:rsidP="00AC344A">
      <w:pPr>
        <w:spacing w:line="360" w:lineRule="auto"/>
        <w:ind w:firstLine="720"/>
        <w:jc w:val="both"/>
        <w:rPr>
          <w:rFonts w:cs="Times New Roman"/>
        </w:rPr>
      </w:pPr>
      <w:r w:rsidRPr="00AC344A">
        <w:rPr>
          <w:rFonts w:cs="Times New Roman"/>
        </w:rPr>
        <w:t>N</w:t>
      </w:r>
      <w:r w:rsidR="00AB4F24" w:rsidRPr="00AC344A">
        <w:rPr>
          <w:rFonts w:cs="Times New Roman"/>
        </w:rPr>
        <w:t xml:space="preserve">oklausoties tiesas sēdes audioierakstu, konstatēts, ka </w:t>
      </w:r>
      <w:r w:rsidR="00B218C6" w:rsidRPr="00AC344A">
        <w:rPr>
          <w:rFonts w:cs="Times New Roman"/>
        </w:rPr>
        <w:t>vairākas reizes tiesas sēdes laikā tiesnesis vēršas pret prasītāju paaugstinātā balss tonī, pārtrauc prasītājas paskaidrojumus, izsaka savu viedokli, komentārus un personisko attieksmi pret izs</w:t>
      </w:r>
      <w:r w:rsidR="00F63A32" w:rsidRPr="00AC344A">
        <w:rPr>
          <w:rFonts w:cs="Times New Roman"/>
        </w:rPr>
        <w:t>kat</w:t>
      </w:r>
      <w:r w:rsidR="00B218C6" w:rsidRPr="00AC344A">
        <w:rPr>
          <w:rFonts w:cs="Times New Roman"/>
        </w:rPr>
        <w:t>āmo pieteikumu, par tajā norādītajiem faktiem, par prasītājas rīcību vai bezdarbību, skaidro prasītājai, kas viņai būtu bijis jādara saistībā ar</w:t>
      </w:r>
      <w:r w:rsidR="00F63A32" w:rsidRPr="00AC344A">
        <w:rPr>
          <w:rFonts w:cs="Times New Roman"/>
        </w:rPr>
        <w:t xml:space="preserve"> dažādiem notikumiem</w:t>
      </w:r>
      <w:r w:rsidR="00B218C6" w:rsidRPr="00AC344A">
        <w:rPr>
          <w:rFonts w:cs="Times New Roman"/>
        </w:rPr>
        <w:t>, izklāsta faktus no savas dzīves, savu radinieku pieredzi, kas pēc būtības nea</w:t>
      </w:r>
      <w:r w:rsidRPr="00AC344A">
        <w:rPr>
          <w:rFonts w:cs="Times New Roman"/>
        </w:rPr>
        <w:t>tt</w:t>
      </w:r>
      <w:r w:rsidR="00F63A32" w:rsidRPr="00AC344A">
        <w:rPr>
          <w:rFonts w:cs="Times New Roman"/>
        </w:rPr>
        <w:t>ie</w:t>
      </w:r>
      <w:r w:rsidRPr="00AC344A">
        <w:rPr>
          <w:rFonts w:cs="Times New Roman"/>
        </w:rPr>
        <w:t>cas uz izskatām</w:t>
      </w:r>
      <w:r w:rsidR="00A022C0" w:rsidRPr="00AC344A">
        <w:rPr>
          <w:rFonts w:cs="Times New Roman"/>
        </w:rPr>
        <w:t>o</w:t>
      </w:r>
      <w:r w:rsidRPr="00AC344A">
        <w:rPr>
          <w:rFonts w:cs="Times New Roman"/>
        </w:rPr>
        <w:t xml:space="preserve"> pieteikumu. </w:t>
      </w:r>
      <w:r w:rsidR="00B218C6" w:rsidRPr="00AC344A">
        <w:rPr>
          <w:rFonts w:cs="Times New Roman"/>
        </w:rPr>
        <w:t>No tiesas sēdes audioieraksta var rasties iespaids, ka tiesnesis negatīvi noskaņots pret prasītāju un viņas advokāti, nav neitrāls, pieļāvis paaugstinātu toni un advokāti pārtraucis ar vārdiem:</w:t>
      </w:r>
      <w:r w:rsidR="00AC344A">
        <w:rPr>
          <w:rFonts w:cs="Times New Roman"/>
        </w:rPr>
        <w:t xml:space="preserve"> </w:t>
      </w:r>
      <w:r w:rsidR="00B218C6" w:rsidRPr="00AC344A">
        <w:rPr>
          <w:rFonts w:cs="Times New Roman"/>
        </w:rPr>
        <w:t>“Man nav laika uzklausīt Jūsu jautājumu</w:t>
      </w:r>
      <w:r w:rsidRPr="00AC344A">
        <w:rPr>
          <w:rFonts w:cs="Times New Roman"/>
        </w:rPr>
        <w:t>s…”. Tiesnesis pieļauj uzvedību un</w:t>
      </w:r>
      <w:r w:rsidR="00B218C6" w:rsidRPr="00AC344A">
        <w:rPr>
          <w:rFonts w:cs="Times New Roman"/>
        </w:rPr>
        <w:t xml:space="preserve"> </w:t>
      </w:r>
      <w:r w:rsidR="00F63A32" w:rsidRPr="00AC344A">
        <w:rPr>
          <w:rFonts w:cs="Times New Roman"/>
        </w:rPr>
        <w:t xml:space="preserve">paaugstinātu </w:t>
      </w:r>
      <w:r w:rsidR="00B218C6" w:rsidRPr="00AC344A">
        <w:rPr>
          <w:rFonts w:cs="Times New Roman"/>
        </w:rPr>
        <w:t xml:space="preserve">balss toni, ko varētu uztvert kā nepatiku un apgrūtinājumu tiesnesim </w:t>
      </w:r>
      <w:r w:rsidR="002207A8" w:rsidRPr="00AC344A">
        <w:rPr>
          <w:rFonts w:cs="Times New Roman"/>
        </w:rPr>
        <w:t>skatīt konkrēto lietu, tajā pašā</w:t>
      </w:r>
      <w:r w:rsidR="00B218C6" w:rsidRPr="00AC344A">
        <w:rPr>
          <w:rFonts w:cs="Times New Roman"/>
        </w:rPr>
        <w:t xml:space="preserve"> laikā izsakot dažādus </w:t>
      </w:r>
      <w:r w:rsidR="00B218C6" w:rsidRPr="00AC344A">
        <w:rPr>
          <w:rFonts w:cs="Times New Roman"/>
        </w:rPr>
        <w:lastRenderedPageBreak/>
        <w:t>vispārīgus secinājumus un dzīvē gūtās atziņas, kas pēc būtības lietā ir mazsvarīgas un nenozīmīgas konkrētā jautājuma izlemšanā.</w:t>
      </w:r>
    </w:p>
    <w:p w:rsidR="00B218C6" w:rsidRPr="00AC344A" w:rsidRDefault="00B218C6" w:rsidP="00AC344A">
      <w:pPr>
        <w:spacing w:line="360" w:lineRule="auto"/>
        <w:ind w:firstLine="720"/>
        <w:jc w:val="both"/>
        <w:rPr>
          <w:rFonts w:cs="Times New Roman"/>
        </w:rPr>
      </w:pPr>
      <w:r w:rsidRPr="00AC344A">
        <w:rPr>
          <w:rFonts w:cs="Times New Roman"/>
        </w:rPr>
        <w:t>Uzskata, ka minētie fakt</w:t>
      </w:r>
      <w:r w:rsidR="009C0CAF" w:rsidRPr="00AC344A">
        <w:rPr>
          <w:rFonts w:cs="Times New Roman"/>
        </w:rPr>
        <w:t>i</w:t>
      </w:r>
      <w:r w:rsidRPr="00AC344A">
        <w:rPr>
          <w:rFonts w:cs="Times New Roman"/>
        </w:rPr>
        <w:t xml:space="preserve"> ir vērtējami tiesneša ētiskas rīcības aspektā.</w:t>
      </w:r>
    </w:p>
    <w:p w:rsidR="00536D0B" w:rsidRPr="00AC344A" w:rsidRDefault="00536D0B" w:rsidP="00AC344A">
      <w:pPr>
        <w:autoSpaceDE w:val="0"/>
        <w:spacing w:line="360" w:lineRule="auto"/>
        <w:ind w:firstLine="695"/>
        <w:jc w:val="both"/>
        <w:rPr>
          <w:rFonts w:cs="Times New Roman"/>
        </w:rPr>
      </w:pPr>
    </w:p>
    <w:p w:rsidR="00A525EA" w:rsidRPr="00AC344A" w:rsidRDefault="00536D0B" w:rsidP="00355886">
      <w:pPr>
        <w:autoSpaceDE w:val="0"/>
        <w:spacing w:line="360" w:lineRule="auto"/>
        <w:ind w:firstLine="720"/>
        <w:jc w:val="both"/>
        <w:rPr>
          <w:rFonts w:cs="Times New Roman"/>
        </w:rPr>
      </w:pPr>
      <w:r w:rsidRPr="00AC344A">
        <w:rPr>
          <w:rFonts w:cs="Times New Roman"/>
        </w:rPr>
        <w:t>[4]</w:t>
      </w:r>
      <w:r w:rsidR="00A84335">
        <w:rPr>
          <w:rFonts w:cs="Times New Roman"/>
        </w:rPr>
        <w:t> </w:t>
      </w:r>
      <w:r w:rsidR="00A525EA" w:rsidRPr="00AC344A">
        <w:rPr>
          <w:rFonts w:cs="Times New Roman"/>
        </w:rPr>
        <w:t>Tiesas priekšsēdētāja lūgusi tiesnesi sniegt paskaidrojumus, un saņemtais paskaidrojums pievienots priekšsēdētājas iesniegumam Tiesnešu ētikas komisijai.</w:t>
      </w:r>
    </w:p>
    <w:p w:rsidR="00B421FA" w:rsidRPr="00AC344A" w:rsidRDefault="00B421FA" w:rsidP="00AC344A">
      <w:pPr>
        <w:spacing w:line="360" w:lineRule="auto"/>
        <w:ind w:firstLine="720"/>
        <w:jc w:val="both"/>
        <w:rPr>
          <w:rFonts w:cs="Times New Roman"/>
        </w:rPr>
      </w:pPr>
      <w:r w:rsidRPr="00AC344A">
        <w:rPr>
          <w:rFonts w:cs="Times New Roman"/>
        </w:rPr>
        <w:t>Tiesnesis savā paskaidrojumā neatzī</w:t>
      </w:r>
      <w:r w:rsidR="00A525EA" w:rsidRPr="00AC344A">
        <w:rPr>
          <w:rFonts w:cs="Times New Roman"/>
        </w:rPr>
        <w:t>s</w:t>
      </w:r>
      <w:r w:rsidRPr="00AC344A">
        <w:rPr>
          <w:rFonts w:cs="Times New Roman"/>
        </w:rPr>
        <w:t>t, ka tiesas sēdē būtu pieļāvis necienīgu vai neētisku uzvedību</w:t>
      </w:r>
      <w:r w:rsidR="00C472D2" w:rsidRPr="00AC344A">
        <w:rPr>
          <w:rFonts w:cs="Times New Roman"/>
        </w:rPr>
        <w:t xml:space="preserve">, </w:t>
      </w:r>
      <w:r w:rsidR="00536D0B" w:rsidRPr="00AC344A">
        <w:rPr>
          <w:rFonts w:cs="Times New Roman"/>
        </w:rPr>
        <w:t xml:space="preserve">norāda, ka </w:t>
      </w:r>
      <w:r w:rsidR="00C472D2" w:rsidRPr="00AC344A">
        <w:rPr>
          <w:rFonts w:cs="Times New Roman"/>
        </w:rPr>
        <w:t>viņa rīcība atbilda Civilprocesa likuma normām, kas nosaka pieteikumu par pagaidu aizsardzību pret vardarbību izskatīšanas kārtību.</w:t>
      </w:r>
    </w:p>
    <w:p w:rsidR="00B218C6" w:rsidRPr="00AC344A" w:rsidRDefault="00B421FA" w:rsidP="00AC344A">
      <w:pPr>
        <w:spacing w:line="360" w:lineRule="auto"/>
        <w:ind w:firstLine="720"/>
        <w:jc w:val="both"/>
        <w:rPr>
          <w:rFonts w:cs="Times New Roman"/>
        </w:rPr>
      </w:pPr>
      <w:r w:rsidRPr="00AC344A">
        <w:rPr>
          <w:rFonts w:cs="Times New Roman"/>
        </w:rPr>
        <w:t>Uzskata, ka nav neiecietīgi izturējies pret prasītāju un viņas pārstāvi, nav morāli viņu ietekmējis. Pret abām pusēm izturējies vienlīdz laipni, centies panāk</w:t>
      </w:r>
      <w:r w:rsidR="00AA4496" w:rsidRPr="00AC344A">
        <w:rPr>
          <w:rFonts w:cs="Times New Roman"/>
        </w:rPr>
        <w:t>t</w:t>
      </w:r>
      <w:r w:rsidRPr="00AC344A">
        <w:rPr>
          <w:rFonts w:cs="Times New Roman"/>
        </w:rPr>
        <w:t>, lai lietas dalībnieki atturētos no savstarpējiem apvainojumiem, kā arī nodrošināt pušu tiesības netraucēti sniegt paskaidrojumus par pieteikumā norādītajiem apstākļiem, tāpēc šajā sakarā advokātei izteikts aizrādījums par nepieļaujamību traucēt paskaidrojumu sniedzēju.</w:t>
      </w:r>
    </w:p>
    <w:p w:rsidR="00ED374B" w:rsidRPr="00AC344A" w:rsidRDefault="00C304D5" w:rsidP="00AC344A">
      <w:pPr>
        <w:spacing w:line="360" w:lineRule="auto"/>
        <w:ind w:firstLine="720"/>
        <w:jc w:val="both"/>
        <w:rPr>
          <w:rFonts w:cs="Times New Roman"/>
        </w:rPr>
      </w:pPr>
      <w:r w:rsidRPr="00AC344A">
        <w:rPr>
          <w:rFonts w:cs="Times New Roman"/>
        </w:rPr>
        <w:t>Ņemot vērā, ka pieteikuma izskatīšanas dienā tiesnesim bija paredzēta arī krimināllietas izskatīšana un līdz ar to bija jārēķinās ar citai tiesas sēdei nozīmēto laiku, tiesnesis lūdza atturēties no jautājumiem, kas skar citus notikumus pagātnē, kas neattiecas uz pieteikumā norādīto laika periodu, kad notikusi vardarbība pret prasītāju un viņas dēlu.</w:t>
      </w:r>
    </w:p>
    <w:p w:rsidR="00A022C0" w:rsidRPr="00AC344A" w:rsidRDefault="00BB4FC8" w:rsidP="00AC344A">
      <w:pPr>
        <w:spacing w:line="360" w:lineRule="auto"/>
        <w:ind w:firstLine="720"/>
        <w:jc w:val="both"/>
        <w:rPr>
          <w:rFonts w:cs="Times New Roman"/>
        </w:rPr>
      </w:pPr>
      <w:r w:rsidRPr="00AC344A">
        <w:rPr>
          <w:rFonts w:cs="Times New Roman"/>
        </w:rPr>
        <w:t xml:space="preserve">Tiesnesis uzsver, ka nav ierobežojis procesa dalībnieku tiesības uzdot jautājumus, kas tieši attiecas uz izskatāmo pieteikumu par pagaidu aizsardzību pret vardarbību. </w:t>
      </w:r>
    </w:p>
    <w:p w:rsidR="00ED374B" w:rsidRPr="00AC344A" w:rsidRDefault="00D64265" w:rsidP="00AC344A">
      <w:pPr>
        <w:spacing w:line="360" w:lineRule="auto"/>
        <w:ind w:firstLine="720"/>
        <w:jc w:val="both"/>
        <w:rPr>
          <w:rFonts w:cs="Times New Roman"/>
        </w:rPr>
      </w:pPr>
      <w:r w:rsidRPr="00AC344A">
        <w:rPr>
          <w:rFonts w:cs="Times New Roman"/>
        </w:rPr>
        <w:t xml:space="preserve">Norāda, ka visi lietas materiāli pirmšķietami liecināja, ka pieteikums par pagaidu aizsardzību pret vardarbību iesniegts ar mērķi panākt prasības </w:t>
      </w:r>
      <w:r w:rsidR="002207A8" w:rsidRPr="00A84335">
        <w:rPr>
          <w:rFonts w:cs="Times New Roman"/>
        </w:rPr>
        <w:t>ap</w:t>
      </w:r>
      <w:r w:rsidRPr="00AC344A">
        <w:rPr>
          <w:rFonts w:cs="Times New Roman"/>
        </w:rPr>
        <w:t>mierināšanu ierosinātajā civillietā, bet ne ar mērķi pasargāt prasītāju no reālas</w:t>
      </w:r>
      <w:r w:rsidR="00F63A32" w:rsidRPr="00AC344A">
        <w:rPr>
          <w:rFonts w:cs="Times New Roman"/>
        </w:rPr>
        <w:t>,</w:t>
      </w:r>
      <w:r w:rsidRPr="00AC344A">
        <w:rPr>
          <w:rFonts w:cs="Times New Roman"/>
        </w:rPr>
        <w:t xml:space="preserve"> notiekošas vardarbības.</w:t>
      </w:r>
    </w:p>
    <w:p w:rsidR="00265085" w:rsidRPr="00AC344A" w:rsidRDefault="00265085" w:rsidP="00AC344A">
      <w:pPr>
        <w:spacing w:line="360" w:lineRule="auto"/>
        <w:ind w:firstLine="720"/>
        <w:jc w:val="both"/>
        <w:rPr>
          <w:rFonts w:cs="Times New Roman"/>
        </w:rPr>
      </w:pPr>
    </w:p>
    <w:p w:rsidR="00D76FDA" w:rsidRPr="00AC344A" w:rsidRDefault="00265085" w:rsidP="00355886">
      <w:pPr>
        <w:spacing w:line="360" w:lineRule="auto"/>
        <w:ind w:firstLine="720"/>
        <w:jc w:val="both"/>
        <w:rPr>
          <w:rFonts w:cs="Times New Roman"/>
        </w:rPr>
      </w:pPr>
      <w:r w:rsidRPr="00AC344A">
        <w:rPr>
          <w:rFonts w:cs="Times New Roman"/>
        </w:rPr>
        <w:t>[5</w:t>
      </w:r>
      <w:r w:rsidR="00C472D2" w:rsidRPr="00AC344A">
        <w:rPr>
          <w:rFonts w:cs="Times New Roman"/>
        </w:rPr>
        <w:t>]</w:t>
      </w:r>
      <w:r w:rsidR="00A84335">
        <w:rPr>
          <w:rFonts w:cs="Times New Roman"/>
        </w:rPr>
        <w:t> </w:t>
      </w:r>
      <w:r w:rsidR="00050EE6" w:rsidRPr="00AC344A">
        <w:rPr>
          <w:rFonts w:cs="Times New Roman"/>
        </w:rPr>
        <w:t>Tiesneš</w:t>
      </w:r>
      <w:r w:rsidR="003A2EEF" w:rsidRPr="00AC344A">
        <w:rPr>
          <w:rFonts w:cs="Times New Roman"/>
        </w:rPr>
        <w:t>u ētikas komisijas sēdē tiesnesis</w:t>
      </w:r>
      <w:r w:rsidR="00050EE6" w:rsidRPr="00AC344A">
        <w:rPr>
          <w:rFonts w:cs="Times New Roman"/>
        </w:rPr>
        <w:t xml:space="preserve"> </w:t>
      </w:r>
      <w:r w:rsidR="00D76FDA" w:rsidRPr="00AC344A">
        <w:rPr>
          <w:rFonts w:cs="Times New Roman"/>
        </w:rPr>
        <w:t xml:space="preserve">sniedza līdzīgus paskaidrojumus, taču </w:t>
      </w:r>
      <w:r w:rsidR="003A2EEF" w:rsidRPr="00AC344A">
        <w:rPr>
          <w:rFonts w:cs="Times New Roman"/>
        </w:rPr>
        <w:t xml:space="preserve">atzina, ka  tiesas sēde lielā mērā sastāvēja no viņa komentāriem un skaidrojumiem </w:t>
      </w:r>
      <w:r w:rsidR="00D76FDA" w:rsidRPr="00AC344A">
        <w:rPr>
          <w:rFonts w:cs="Times New Roman"/>
        </w:rPr>
        <w:t>par dažādiem lietas apstākļiem un sadzīviskām situācijām</w:t>
      </w:r>
      <w:r w:rsidR="003A2EEF" w:rsidRPr="00AC344A">
        <w:rPr>
          <w:rFonts w:cs="Times New Roman"/>
        </w:rPr>
        <w:t xml:space="preserve">, kas ne vienmēr bija pamatoti un attiecās uz izskatāmo lietu. </w:t>
      </w:r>
    </w:p>
    <w:p w:rsidR="001E5752" w:rsidRPr="00AC344A" w:rsidRDefault="003A2EEF" w:rsidP="00AC344A">
      <w:pPr>
        <w:spacing w:line="360" w:lineRule="auto"/>
        <w:ind w:firstLine="720"/>
        <w:jc w:val="both"/>
        <w:rPr>
          <w:rFonts w:cs="Times New Roman"/>
        </w:rPr>
      </w:pPr>
      <w:r w:rsidRPr="00AC344A">
        <w:rPr>
          <w:rFonts w:cs="Times New Roman"/>
        </w:rPr>
        <w:t>Vienlaicīgi</w:t>
      </w:r>
      <w:r w:rsidR="00D76FDA" w:rsidRPr="00AC344A">
        <w:rPr>
          <w:rFonts w:cs="Times New Roman"/>
        </w:rPr>
        <w:t xml:space="preserve"> norādīja</w:t>
      </w:r>
      <w:r w:rsidRPr="00AC344A">
        <w:rPr>
          <w:rFonts w:cs="Times New Roman"/>
        </w:rPr>
        <w:t xml:space="preserve">, ka tiesnesim tas ir liels stress, kad tiesas sēdē ir ātri jāreaģē uz dažādām situācijām un </w:t>
      </w:r>
      <w:r w:rsidR="00D76FDA" w:rsidRPr="00AC344A">
        <w:rPr>
          <w:rFonts w:cs="Times New Roman"/>
        </w:rPr>
        <w:t>“</w:t>
      </w:r>
      <w:r w:rsidRPr="00AC344A">
        <w:rPr>
          <w:rFonts w:cs="Times New Roman"/>
        </w:rPr>
        <w:t>jāregulē citu cilvēku dzīves</w:t>
      </w:r>
      <w:r w:rsidR="00D76FDA" w:rsidRPr="00AC344A">
        <w:rPr>
          <w:rFonts w:cs="Times New Roman"/>
        </w:rPr>
        <w:t>”</w:t>
      </w:r>
      <w:r w:rsidRPr="00AC344A">
        <w:rPr>
          <w:rFonts w:cs="Times New Roman"/>
        </w:rPr>
        <w:t xml:space="preserve">, tāpēc bieži vien korekti mēģina lietas dalībniekus </w:t>
      </w:r>
      <w:r w:rsidR="00D76FDA" w:rsidRPr="00AC344A">
        <w:rPr>
          <w:rFonts w:cs="Times New Roman"/>
        </w:rPr>
        <w:t>“</w:t>
      </w:r>
      <w:r w:rsidRPr="00AC344A">
        <w:rPr>
          <w:rFonts w:cs="Times New Roman"/>
        </w:rPr>
        <w:t>vest pie prāta</w:t>
      </w:r>
      <w:r w:rsidR="00D76FDA" w:rsidRPr="00AC344A">
        <w:rPr>
          <w:rFonts w:cs="Times New Roman"/>
        </w:rPr>
        <w:t>”</w:t>
      </w:r>
      <w:r w:rsidR="001E5752" w:rsidRPr="00AC344A">
        <w:rPr>
          <w:rFonts w:cs="Times New Roman"/>
        </w:rPr>
        <w:t xml:space="preserve"> un </w:t>
      </w:r>
      <w:r w:rsidRPr="00AC344A">
        <w:rPr>
          <w:rFonts w:cs="Times New Roman"/>
        </w:rPr>
        <w:t xml:space="preserve">nepieļaut tiesas sēdē konflikta situācijas. </w:t>
      </w:r>
      <w:r w:rsidR="001E5752" w:rsidRPr="00AC344A">
        <w:rPr>
          <w:rFonts w:cs="Times New Roman"/>
        </w:rPr>
        <w:t xml:space="preserve">Tiesnesis jūt līdzi lietas dalībniekiem, “iejūtas viņu ādā”. </w:t>
      </w:r>
      <w:r w:rsidRPr="00AC344A">
        <w:rPr>
          <w:rFonts w:cs="Times New Roman"/>
        </w:rPr>
        <w:t xml:space="preserve">Tiesnesim ir padziļināta taisnības izjūta, tāpēc </w:t>
      </w:r>
      <w:r w:rsidR="001E5752" w:rsidRPr="00AC344A">
        <w:rPr>
          <w:rFonts w:cs="Times New Roman"/>
        </w:rPr>
        <w:t xml:space="preserve">tiesas sēdē </w:t>
      </w:r>
      <w:r w:rsidRPr="00AC344A">
        <w:rPr>
          <w:rFonts w:cs="Times New Roman"/>
        </w:rPr>
        <w:t xml:space="preserve">mēģina noskaidrot visus </w:t>
      </w:r>
      <w:r w:rsidR="001E5752" w:rsidRPr="00AC344A">
        <w:rPr>
          <w:rFonts w:cs="Times New Roman"/>
        </w:rPr>
        <w:t>lietā nozīmīg</w:t>
      </w:r>
      <w:r w:rsidR="002207A8" w:rsidRPr="00A84335">
        <w:rPr>
          <w:rFonts w:cs="Times New Roman"/>
        </w:rPr>
        <w:t>o</w:t>
      </w:r>
      <w:r w:rsidR="001E5752" w:rsidRPr="00AC344A">
        <w:rPr>
          <w:rFonts w:cs="Times New Roman"/>
        </w:rPr>
        <w:t xml:space="preserve">s </w:t>
      </w:r>
      <w:r w:rsidRPr="00AC344A">
        <w:rPr>
          <w:rFonts w:cs="Times New Roman"/>
        </w:rPr>
        <w:t>faktus</w:t>
      </w:r>
      <w:r w:rsidR="009D0FC2" w:rsidRPr="00AC344A">
        <w:rPr>
          <w:rFonts w:cs="Times New Roman"/>
        </w:rPr>
        <w:t>, pat</w:t>
      </w:r>
      <w:r w:rsidRPr="00AC344A">
        <w:rPr>
          <w:rFonts w:cs="Times New Roman"/>
        </w:rPr>
        <w:t xml:space="preserve"> līdz sīk</w:t>
      </w:r>
      <w:r w:rsidR="001E5752" w:rsidRPr="00AC344A">
        <w:rPr>
          <w:rFonts w:cs="Times New Roman"/>
        </w:rPr>
        <w:t>ām detaļām. U</w:t>
      </w:r>
      <w:r w:rsidRPr="00AC344A">
        <w:rPr>
          <w:rFonts w:cs="Times New Roman"/>
        </w:rPr>
        <w:t xml:space="preserve">zdodot </w:t>
      </w:r>
      <w:r w:rsidR="009D0FC2" w:rsidRPr="00AC344A">
        <w:rPr>
          <w:rFonts w:cs="Times New Roman"/>
        </w:rPr>
        <w:t xml:space="preserve">lietas dalībniekiem </w:t>
      </w:r>
      <w:r w:rsidRPr="00AC344A">
        <w:rPr>
          <w:rFonts w:cs="Times New Roman"/>
        </w:rPr>
        <w:t xml:space="preserve">arī nepatīkamus jautājumus, tiesnesis var </w:t>
      </w:r>
      <w:r w:rsidR="009D0FC2" w:rsidRPr="00AC344A">
        <w:rPr>
          <w:rFonts w:cs="Times New Roman"/>
        </w:rPr>
        <w:t xml:space="preserve">skaidrāk </w:t>
      </w:r>
      <w:r w:rsidRPr="00AC344A">
        <w:rPr>
          <w:rFonts w:cs="Times New Roman"/>
        </w:rPr>
        <w:t xml:space="preserve">redzēt lietas dalībnieku reakciju, </w:t>
      </w:r>
      <w:r w:rsidR="001E5752" w:rsidRPr="00AC344A">
        <w:rPr>
          <w:rFonts w:cs="Times New Roman"/>
        </w:rPr>
        <w:t xml:space="preserve">tajā skaitā </w:t>
      </w:r>
      <w:r w:rsidRPr="00AC344A">
        <w:rPr>
          <w:rFonts w:cs="Times New Roman"/>
        </w:rPr>
        <w:t xml:space="preserve">atklāt melus. </w:t>
      </w:r>
      <w:r w:rsidR="001672AC" w:rsidRPr="00AC344A">
        <w:rPr>
          <w:rFonts w:cs="Times New Roman"/>
        </w:rPr>
        <w:t xml:space="preserve">Tajā pašā laikā tiesnesis </w:t>
      </w:r>
      <w:r w:rsidR="001E5752" w:rsidRPr="00AC344A">
        <w:rPr>
          <w:rFonts w:cs="Times New Roman"/>
        </w:rPr>
        <w:t>c</w:t>
      </w:r>
      <w:r w:rsidR="00D76FDA" w:rsidRPr="00AC344A">
        <w:rPr>
          <w:rFonts w:cs="Times New Roman"/>
        </w:rPr>
        <w:t xml:space="preserve">enšas </w:t>
      </w:r>
      <w:r w:rsidR="001E5752" w:rsidRPr="00AC344A">
        <w:rPr>
          <w:rFonts w:cs="Times New Roman"/>
        </w:rPr>
        <w:t>neaizskart lietas dalībnie</w:t>
      </w:r>
      <w:r w:rsidR="001672AC" w:rsidRPr="00AC344A">
        <w:rPr>
          <w:rFonts w:cs="Times New Roman"/>
        </w:rPr>
        <w:t xml:space="preserve">ku </w:t>
      </w:r>
      <w:r w:rsidR="001672AC" w:rsidRPr="00AC344A">
        <w:rPr>
          <w:rFonts w:cs="Times New Roman"/>
        </w:rPr>
        <w:lastRenderedPageBreak/>
        <w:t>cieņu</w:t>
      </w:r>
      <w:r w:rsidR="001E5752" w:rsidRPr="00AC344A">
        <w:rPr>
          <w:rFonts w:cs="Times New Roman"/>
        </w:rPr>
        <w:t xml:space="preserve"> un nenorādīt</w:t>
      </w:r>
      <w:r w:rsidR="00D76FDA" w:rsidRPr="00AC344A">
        <w:rPr>
          <w:rFonts w:cs="Times New Roman"/>
        </w:rPr>
        <w:t xml:space="preserve">, ka tiesnesis </w:t>
      </w:r>
      <w:r w:rsidR="009D0FC2" w:rsidRPr="00AC344A">
        <w:rPr>
          <w:rFonts w:cs="Times New Roman"/>
        </w:rPr>
        <w:t xml:space="preserve">juridiskajos jautājumos </w:t>
      </w:r>
      <w:r w:rsidR="001E5752" w:rsidRPr="00AC344A">
        <w:rPr>
          <w:rFonts w:cs="Times New Roman"/>
        </w:rPr>
        <w:t>ir z</w:t>
      </w:r>
      <w:r w:rsidR="00D76FDA" w:rsidRPr="00AC344A">
        <w:rPr>
          <w:rFonts w:cs="Times New Roman"/>
        </w:rPr>
        <w:t xml:space="preserve">inošāks par lietas dalībniekiem un </w:t>
      </w:r>
      <w:r w:rsidR="001E5752" w:rsidRPr="00AC344A">
        <w:rPr>
          <w:rFonts w:cs="Times New Roman"/>
        </w:rPr>
        <w:t>viņu pārstāvjiem.</w:t>
      </w:r>
    </w:p>
    <w:p w:rsidR="001672AC" w:rsidRPr="00AC344A" w:rsidRDefault="00F63A32" w:rsidP="00AC344A">
      <w:pPr>
        <w:spacing w:line="360" w:lineRule="auto"/>
        <w:ind w:firstLine="720"/>
        <w:jc w:val="both"/>
        <w:rPr>
          <w:rFonts w:eastAsia="Times New Roman" w:cs="Times New Roman"/>
          <w:color w:val="000000"/>
        </w:rPr>
      </w:pPr>
      <w:r w:rsidRPr="00AC344A">
        <w:rPr>
          <w:rFonts w:cs="Times New Roman"/>
        </w:rPr>
        <w:t>Tiesnesis secināja, ka a</w:t>
      </w:r>
      <w:r w:rsidR="001672AC" w:rsidRPr="00AC344A">
        <w:rPr>
          <w:rFonts w:cs="Times New Roman"/>
        </w:rPr>
        <w:t xml:space="preserve">tsevišķos gadījumos </w:t>
      </w:r>
      <w:r w:rsidR="001E5752" w:rsidRPr="00AC344A">
        <w:rPr>
          <w:rFonts w:cs="Times New Roman"/>
        </w:rPr>
        <w:t>varējis</w:t>
      </w:r>
      <w:r w:rsidR="00A84335">
        <w:rPr>
          <w:rFonts w:cs="Times New Roman"/>
        </w:rPr>
        <w:t xml:space="preserve"> </w:t>
      </w:r>
      <w:r w:rsidR="001E5752" w:rsidRPr="00AC344A">
        <w:rPr>
          <w:rFonts w:cs="Times New Roman"/>
        </w:rPr>
        <w:t xml:space="preserve">izteikties mierīgāk, </w:t>
      </w:r>
      <w:r w:rsidR="001672AC" w:rsidRPr="00AC344A">
        <w:rPr>
          <w:rFonts w:cs="Times New Roman"/>
        </w:rPr>
        <w:t>i</w:t>
      </w:r>
      <w:r w:rsidR="001E5752" w:rsidRPr="00AC344A">
        <w:rPr>
          <w:rFonts w:cs="Times New Roman"/>
        </w:rPr>
        <w:t xml:space="preserve">ztikt bez piezīmēm, lai gan tās nebija tendētas uz kāda aizvainošanu, pazemošanu vai nostāšanos kāda pusē. </w:t>
      </w:r>
      <w:r w:rsidR="003A2EEF" w:rsidRPr="00AC344A">
        <w:rPr>
          <w:rFonts w:cs="Times New Roman"/>
        </w:rPr>
        <w:t>Paaugstināja balsi pret advokāti, jo viņa norādīja, kā tiesnesim jārīkojas. Advokātei izteica aizrādījumu, jo viņa teica priekšā prasītājai, kad viņa sni</w:t>
      </w:r>
      <w:r w:rsidR="001672AC" w:rsidRPr="00AC344A">
        <w:rPr>
          <w:rFonts w:cs="Times New Roman"/>
        </w:rPr>
        <w:t xml:space="preserve">edza paskaidrojumus, </w:t>
      </w:r>
      <w:r w:rsidR="00C472D2" w:rsidRPr="00AC344A">
        <w:rPr>
          <w:rFonts w:eastAsia="Times New Roman" w:cs="Times New Roman"/>
          <w:color w:val="000000"/>
        </w:rPr>
        <w:t>noliedz jebkādu neg</w:t>
      </w:r>
      <w:r w:rsidR="001672AC" w:rsidRPr="00AC344A">
        <w:rPr>
          <w:rFonts w:eastAsia="Times New Roman" w:cs="Times New Roman"/>
          <w:color w:val="000000"/>
        </w:rPr>
        <w:t>atīvu attieksmi pret šo personu.</w:t>
      </w:r>
    </w:p>
    <w:p w:rsidR="005452D6" w:rsidRPr="00AC344A" w:rsidRDefault="005452D6" w:rsidP="00AC344A">
      <w:pPr>
        <w:spacing w:line="360" w:lineRule="auto"/>
        <w:ind w:firstLine="720"/>
        <w:jc w:val="both"/>
        <w:rPr>
          <w:rFonts w:cs="Times New Roman"/>
        </w:rPr>
      </w:pPr>
      <w:r w:rsidRPr="00A84335">
        <w:rPr>
          <w:rFonts w:cs="Times New Roman"/>
        </w:rPr>
        <w:t>Tiesnesis vispārīgi atzina, ka atsevišķi viņa izteikumi bija neatbilstoši un izteica gatavību turpmāk izvairīties no liekiem komentāriem, tomēr</w:t>
      </w:r>
      <w:r w:rsidR="00A84335">
        <w:rPr>
          <w:rFonts w:cs="Times New Roman"/>
        </w:rPr>
        <w:t xml:space="preserve"> </w:t>
      </w:r>
      <w:r w:rsidRPr="00A84335">
        <w:rPr>
          <w:rFonts w:cs="Times New Roman"/>
        </w:rPr>
        <w:t>konkrētus izteikumus, kuri, viņaprāt, bija neatbilstoši, viņš nosaukt tā arī nespēja</w:t>
      </w:r>
      <w:r w:rsidRPr="00AC344A">
        <w:rPr>
          <w:rFonts w:cs="Times New Roman"/>
        </w:rPr>
        <w:t>.</w:t>
      </w:r>
    </w:p>
    <w:p w:rsidR="00265085" w:rsidRPr="00AC344A" w:rsidRDefault="00265085" w:rsidP="00AC344A">
      <w:pPr>
        <w:spacing w:line="360" w:lineRule="auto"/>
        <w:ind w:firstLine="720"/>
        <w:jc w:val="both"/>
        <w:rPr>
          <w:rFonts w:eastAsia="Times New Roman" w:cs="Times New Roman"/>
          <w:color w:val="000000"/>
        </w:rPr>
      </w:pPr>
    </w:p>
    <w:p w:rsidR="00C472D2" w:rsidRPr="00AC344A" w:rsidRDefault="00265085" w:rsidP="00355886">
      <w:pPr>
        <w:autoSpaceDE w:val="0"/>
        <w:spacing w:line="360" w:lineRule="auto"/>
        <w:ind w:firstLine="695"/>
        <w:jc w:val="both"/>
        <w:rPr>
          <w:rFonts w:cs="Times New Roman"/>
        </w:rPr>
      </w:pPr>
      <w:r w:rsidRPr="00AC344A">
        <w:rPr>
          <w:rFonts w:eastAsia="Times New Roman" w:cs="Times New Roman"/>
          <w:color w:val="000000"/>
        </w:rPr>
        <w:t>[6</w:t>
      </w:r>
      <w:r w:rsidR="00C472D2" w:rsidRPr="00AC344A">
        <w:rPr>
          <w:rFonts w:eastAsia="Times New Roman" w:cs="Times New Roman"/>
          <w:color w:val="000000"/>
        </w:rPr>
        <w:t xml:space="preserve">] </w:t>
      </w:r>
      <w:r w:rsidR="00C472D2" w:rsidRPr="00AC344A">
        <w:rPr>
          <w:rFonts w:cs="Times New Roman"/>
        </w:rPr>
        <w:t>Saskaņā ar likuma ,,Par tiesu varu” 91.</w:t>
      </w:r>
      <w:r w:rsidR="00C472D2" w:rsidRPr="00AC344A">
        <w:rPr>
          <w:rFonts w:cs="Times New Roman"/>
          <w:vertAlign w:val="superscript"/>
        </w:rPr>
        <w:t xml:space="preserve">2  </w:t>
      </w:r>
      <w:r w:rsidR="00C472D2" w:rsidRPr="00AC344A">
        <w:rPr>
          <w:rFonts w:cs="Times New Roman"/>
        </w:rPr>
        <w:t>panta 1</w:t>
      </w:r>
      <w:r w:rsidR="00C472D2" w:rsidRPr="00AC344A">
        <w:rPr>
          <w:rFonts w:eastAsia="Times New Roman" w:cs="Times New Roman"/>
          <w:kern w:val="0"/>
          <w:lang w:eastAsia="lv-LV" w:bidi="ar-SA"/>
        </w:rPr>
        <w:t xml:space="preserve">.punktu Tiesnešu ētikas komisija </w:t>
      </w:r>
      <w:r w:rsidR="00C472D2" w:rsidRPr="00AC344A">
        <w:rPr>
          <w:rFonts w:cs="Times New Roman"/>
        </w:rPr>
        <w:t xml:space="preserve">pēc tās personas pieprasījuma, kurai ir tiesības ierosināt disciplinārlietu, sniedz atzinumus par ētikas normu interpretāciju un pārkāpumiem. </w:t>
      </w:r>
    </w:p>
    <w:p w:rsidR="00C472D2" w:rsidRPr="00AC344A" w:rsidRDefault="00C472D2" w:rsidP="00AC344A">
      <w:pPr>
        <w:autoSpaceDE w:val="0"/>
        <w:spacing w:line="360" w:lineRule="auto"/>
        <w:ind w:firstLine="695"/>
        <w:jc w:val="both"/>
        <w:rPr>
          <w:rFonts w:cs="Times New Roman"/>
        </w:rPr>
      </w:pPr>
      <w:r w:rsidRPr="00AC344A">
        <w:rPr>
          <w:rFonts w:cs="Times New Roman"/>
        </w:rPr>
        <w:t>Konkrētā gadījumā komisija izvērtē, vai tiesneša darbībās ir konstatējams ētikas normu pārkāpums.</w:t>
      </w:r>
    </w:p>
    <w:p w:rsidR="008C1F12" w:rsidRPr="00AC344A" w:rsidRDefault="008C1F12" w:rsidP="00AC344A">
      <w:pPr>
        <w:autoSpaceDE w:val="0"/>
        <w:spacing w:line="360" w:lineRule="auto"/>
        <w:ind w:firstLine="695"/>
        <w:jc w:val="both"/>
        <w:rPr>
          <w:rFonts w:cs="Times New Roman"/>
        </w:rPr>
      </w:pPr>
    </w:p>
    <w:p w:rsidR="00776841" w:rsidRPr="00AC344A" w:rsidRDefault="00776841" w:rsidP="00355886">
      <w:pPr>
        <w:pStyle w:val="Pamattekstapirmatkpe"/>
        <w:spacing w:after="0" w:line="360" w:lineRule="auto"/>
        <w:ind w:firstLine="695"/>
        <w:jc w:val="both"/>
        <w:rPr>
          <w:rFonts w:ascii="Times New Roman" w:hAnsi="Times New Roman"/>
          <w:sz w:val="24"/>
          <w:szCs w:val="24"/>
          <w:lang w:val="lv-LV"/>
        </w:rPr>
      </w:pPr>
      <w:r w:rsidRPr="00AC344A">
        <w:rPr>
          <w:rFonts w:ascii="Times New Roman" w:hAnsi="Times New Roman"/>
          <w:sz w:val="24"/>
          <w:szCs w:val="24"/>
          <w:lang w:val="lv-LV"/>
        </w:rPr>
        <w:t>[</w:t>
      </w:r>
      <w:r w:rsidR="002207A8" w:rsidRPr="00A84335">
        <w:rPr>
          <w:rFonts w:ascii="Times New Roman" w:hAnsi="Times New Roman"/>
          <w:sz w:val="24"/>
          <w:szCs w:val="24"/>
          <w:lang w:val="lv-LV"/>
        </w:rPr>
        <w:t>7</w:t>
      </w:r>
      <w:r w:rsidRPr="00A84335">
        <w:rPr>
          <w:rFonts w:ascii="Times New Roman" w:hAnsi="Times New Roman"/>
          <w:sz w:val="24"/>
          <w:szCs w:val="24"/>
          <w:lang w:val="lv-LV"/>
        </w:rPr>
        <w:t>]</w:t>
      </w:r>
      <w:r w:rsidR="00A84335">
        <w:rPr>
          <w:rFonts w:ascii="Times New Roman" w:hAnsi="Times New Roman"/>
          <w:sz w:val="24"/>
          <w:szCs w:val="24"/>
          <w:lang w:val="lv-LV"/>
        </w:rPr>
        <w:t> </w:t>
      </w:r>
      <w:r w:rsidR="00A022C0" w:rsidRPr="00AC344A">
        <w:rPr>
          <w:rFonts w:ascii="Times New Roman" w:hAnsi="Times New Roman"/>
          <w:sz w:val="24"/>
          <w:szCs w:val="24"/>
          <w:lang w:val="lv-LV"/>
        </w:rPr>
        <w:t>ANO Ekonomisko un sociālo lietu padomes pieņemto T</w:t>
      </w:r>
      <w:r w:rsidRPr="00AC344A">
        <w:rPr>
          <w:rFonts w:ascii="Times New Roman" w:hAnsi="Times New Roman"/>
          <w:sz w:val="24"/>
          <w:szCs w:val="24"/>
          <w:lang w:val="lv-LV"/>
        </w:rPr>
        <w:t>iesnešu</w:t>
      </w:r>
      <w:r w:rsidR="00A022C0" w:rsidRPr="00AC344A">
        <w:rPr>
          <w:rFonts w:ascii="Times New Roman" w:hAnsi="Times New Roman"/>
          <w:sz w:val="24"/>
          <w:szCs w:val="24"/>
          <w:lang w:val="lv-LV"/>
        </w:rPr>
        <w:t xml:space="preserve"> uzvedības Bangaloras principos </w:t>
      </w:r>
      <w:r w:rsidRPr="00AC344A">
        <w:rPr>
          <w:rFonts w:ascii="Times New Roman" w:hAnsi="Times New Roman"/>
          <w:sz w:val="24"/>
          <w:szCs w:val="24"/>
          <w:lang w:val="lv-LV"/>
        </w:rPr>
        <w:t>noteikts, ka tiesisko pienākumu pienācīgā pildīšanā</w:t>
      </w:r>
      <w:r w:rsidRPr="00AC344A">
        <w:rPr>
          <w:rFonts w:ascii="Times New Roman" w:hAnsi="Times New Roman"/>
          <w:bCs/>
          <w:sz w:val="24"/>
          <w:szCs w:val="24"/>
          <w:lang w:val="lv-LV"/>
        </w:rPr>
        <w:t xml:space="preserve"> i</w:t>
      </w:r>
      <w:r w:rsidRPr="00AC344A">
        <w:rPr>
          <w:rFonts w:ascii="Times New Roman" w:hAnsi="Times New Roman"/>
          <w:sz w:val="24"/>
          <w:szCs w:val="24"/>
          <w:lang w:val="lv-LV"/>
        </w:rPr>
        <w:t xml:space="preserve">r svarīga </w:t>
      </w:r>
      <w:r w:rsidRPr="00AC344A">
        <w:rPr>
          <w:rFonts w:ascii="Times New Roman" w:hAnsi="Times New Roman"/>
          <w:bCs/>
          <w:sz w:val="24"/>
          <w:szCs w:val="24"/>
          <w:lang w:val="lv-LV"/>
        </w:rPr>
        <w:t>objektivitāte, kas attiecas ne tikai uz pašu tiesas spriedumu, bet arī uz procesu, kurā spriedums pieņemts.</w:t>
      </w:r>
      <w:r w:rsidRPr="00AC344A">
        <w:rPr>
          <w:rFonts w:ascii="Times New Roman" w:hAnsi="Times New Roman"/>
          <w:b/>
          <w:bCs/>
          <w:sz w:val="24"/>
          <w:szCs w:val="24"/>
          <w:lang w:val="lv-LV"/>
        </w:rPr>
        <w:t xml:space="preserve"> </w:t>
      </w:r>
      <w:r w:rsidRPr="00AC344A">
        <w:rPr>
          <w:rFonts w:ascii="Times New Roman" w:hAnsi="Times New Roman"/>
          <w:bCs/>
          <w:sz w:val="24"/>
          <w:szCs w:val="24"/>
          <w:lang w:val="lv-LV"/>
        </w:rPr>
        <w:t xml:space="preserve">Atbilstoši </w:t>
      </w:r>
      <w:r w:rsidRPr="00AC344A">
        <w:rPr>
          <w:rFonts w:ascii="Times New Roman" w:hAnsi="Times New Roman"/>
          <w:sz w:val="24"/>
          <w:szCs w:val="24"/>
          <w:lang w:val="lv-LV"/>
        </w:rPr>
        <w:t>šo principu 2.1.punktā norādītajam, tiesnesim jāpilda savi tiesiskie pienākumi bez aizspriedumiem, neizrādot ne pret vienu savu labvēlību vai nelabvēlību, bet 6.6.punktā noteikts, ka tiesnesim ir jāsaglabā kārtība un pieklājīga uzvedība visās tiesas sēdēs un pašam jābūt pacietīgam, cienīgam un taktiskam attiecībās ar prāvas dalībniekiem.</w:t>
      </w:r>
    </w:p>
    <w:p w:rsidR="008429CA" w:rsidRPr="00AC344A" w:rsidRDefault="008429CA" w:rsidP="00AC344A">
      <w:pPr>
        <w:spacing w:line="360" w:lineRule="auto"/>
        <w:ind w:firstLine="720"/>
        <w:jc w:val="both"/>
        <w:rPr>
          <w:rFonts w:cs="Times New Roman"/>
        </w:rPr>
      </w:pPr>
      <w:r w:rsidRPr="00AC344A">
        <w:rPr>
          <w:rFonts w:cs="Times New Roman"/>
        </w:rPr>
        <w:t>Latvijas Tiesnešu ētikas kodeksā tiesneša attieksme pret saviem pienākumiem, pret jebkuru personu tiesas zālē ir uzsvērta kā liela vērtība</w:t>
      </w:r>
      <w:r w:rsidR="002207A8" w:rsidRPr="00A84335">
        <w:rPr>
          <w:rFonts w:cs="Times New Roman"/>
        </w:rPr>
        <w:t>,</w:t>
      </w:r>
      <w:r w:rsidRPr="00A84335">
        <w:rPr>
          <w:rFonts w:cs="Times New Roman"/>
        </w:rPr>
        <w:t xml:space="preserve"> vairākkārt aplūkojot tiesneša darbību no dažādiem aspektiem.</w:t>
      </w:r>
    </w:p>
    <w:p w:rsidR="00372B69" w:rsidRPr="00AC344A" w:rsidRDefault="008429CA" w:rsidP="00AC344A">
      <w:pPr>
        <w:spacing w:line="360" w:lineRule="auto"/>
        <w:ind w:firstLine="720"/>
        <w:jc w:val="both"/>
        <w:rPr>
          <w:rFonts w:cs="Times New Roman"/>
        </w:rPr>
      </w:pPr>
      <w:r w:rsidRPr="00AC344A">
        <w:rPr>
          <w:rFonts w:cs="Times New Roman"/>
        </w:rPr>
        <w:t>K</w:t>
      </w:r>
      <w:r w:rsidR="00372B69" w:rsidRPr="00AC344A">
        <w:rPr>
          <w:rFonts w:cs="Times New Roman"/>
        </w:rPr>
        <w:t>odeksa 1.kanons noteic, ka tiesnesis tur cieņā savu amatu, tiesu varas neatkarību un tiesas godīgumu, tajā skaitā paredzot, ka tiesnesim jāpiedalās augstu uzvedības kultūras normu noteikšanā, piemērošanā un saglabāšanā, tiesnesim personiski jāievēro augstas uzvedības kultūras normas, lai apstiprinātu tiesu varas neatkarību un godīgumu.</w:t>
      </w:r>
    </w:p>
    <w:p w:rsidR="00877414" w:rsidRPr="00AC344A" w:rsidRDefault="00372B69" w:rsidP="00A84335">
      <w:pPr>
        <w:spacing w:line="360" w:lineRule="auto"/>
        <w:ind w:firstLine="720"/>
        <w:jc w:val="both"/>
        <w:rPr>
          <w:rFonts w:cs="Times New Roman"/>
        </w:rPr>
      </w:pPr>
      <w:r w:rsidRPr="00AC344A">
        <w:rPr>
          <w:rFonts w:cs="Times New Roman"/>
        </w:rPr>
        <w:t>Savukārt 2.kanons paredz, ka tiesnesis izvairās no necienīgas rīcības, kā arī no šķietamas šādas rīcības izraisīšanas</w:t>
      </w:r>
      <w:r w:rsidR="008429CA" w:rsidRPr="00AC344A">
        <w:rPr>
          <w:rFonts w:cs="Times New Roman"/>
        </w:rPr>
        <w:t xml:space="preserve">. </w:t>
      </w:r>
      <w:r w:rsidR="00877414" w:rsidRPr="00AC344A">
        <w:rPr>
          <w:rFonts w:cs="Times New Roman"/>
        </w:rPr>
        <w:t xml:space="preserve">Tālāk kodeksa 3.kanons, kas skaidro ētikas standartus tiešo pienākumu pildīšanā, paredz, ka tiesnesis pilda tiesu varas uzliktos pienākumus objektīvi un taisnīgi. Tas cita starpā nozīmē, ka tiesnesim jābūt iecietīgam, cieņas pilnam un laipnam pret </w:t>
      </w:r>
      <w:r w:rsidR="00877414" w:rsidRPr="00AC344A">
        <w:rPr>
          <w:rFonts w:cs="Times New Roman"/>
        </w:rPr>
        <w:lastRenderedPageBreak/>
        <w:t>procesa dalībniekiem, pieprasot līdzīgu attieksmi arī no prāvniekiem, tiesas personāla un citiem cilvēkiem, kas pakļauti tiesneša vadībai un kontrolei (5.punkts); ka tiesnesis, iztiesājot lietu, darbojas pacietīgi, nosvērti un nesteidzīgi, tomēr efektīvi un uzņēmīgi (6.punkts); ka tiesnesis savus uzdevumus pilda ar atbildības sajūtu un bez aizspriedumiem (7.punkts); ka tiesnesis izvairās no vārdiem un runas, žestiem vai citas darbības, ko varētu uzņemt kā neobjektivitāti vai aizspriedumu izpausmi (8.punkts)</w:t>
      </w:r>
      <w:r w:rsidR="00A84335">
        <w:rPr>
          <w:rFonts w:cs="Times New Roman"/>
        </w:rPr>
        <w:t>.</w:t>
      </w:r>
    </w:p>
    <w:p w:rsidR="008C1F12" w:rsidRPr="00AC344A" w:rsidRDefault="008C1F12" w:rsidP="00AC344A">
      <w:pPr>
        <w:spacing w:line="360" w:lineRule="auto"/>
        <w:jc w:val="both"/>
        <w:rPr>
          <w:rFonts w:cs="Times New Roman"/>
        </w:rPr>
      </w:pPr>
    </w:p>
    <w:p w:rsidR="003A2EEF" w:rsidRPr="00AC344A" w:rsidRDefault="00776841" w:rsidP="00355886">
      <w:pPr>
        <w:spacing w:line="360" w:lineRule="auto"/>
        <w:ind w:firstLine="720"/>
        <w:jc w:val="both"/>
        <w:rPr>
          <w:rFonts w:cs="Times New Roman"/>
        </w:rPr>
      </w:pPr>
      <w:r w:rsidRPr="00AC344A">
        <w:rPr>
          <w:rFonts w:cs="Times New Roman"/>
        </w:rPr>
        <w:t>[</w:t>
      </w:r>
      <w:r w:rsidR="002207A8" w:rsidRPr="00AC344A">
        <w:rPr>
          <w:rFonts w:cs="Times New Roman"/>
        </w:rPr>
        <w:t>8</w:t>
      </w:r>
      <w:r w:rsidR="008C1F12" w:rsidRPr="00AC344A">
        <w:rPr>
          <w:rFonts w:cs="Times New Roman"/>
        </w:rPr>
        <w:t>]</w:t>
      </w:r>
      <w:r w:rsidR="00A84335">
        <w:rPr>
          <w:rFonts w:cs="Times New Roman"/>
        </w:rPr>
        <w:t> </w:t>
      </w:r>
      <w:r w:rsidR="003A2EEF" w:rsidRPr="00AC344A">
        <w:rPr>
          <w:rFonts w:cs="Times New Roman"/>
        </w:rPr>
        <w:t xml:space="preserve">Tiesnešu ētikas komisija </w:t>
      </w:r>
      <w:r w:rsidR="008C1F12" w:rsidRPr="00AC344A">
        <w:rPr>
          <w:rFonts w:cs="Times New Roman"/>
        </w:rPr>
        <w:t xml:space="preserve">ir </w:t>
      </w:r>
      <w:r w:rsidR="003A2EEF" w:rsidRPr="00AC344A">
        <w:rPr>
          <w:rFonts w:cs="Times New Roman"/>
        </w:rPr>
        <w:t>noklausīj</w:t>
      </w:r>
      <w:r w:rsidR="008C1F12" w:rsidRPr="00AC344A">
        <w:rPr>
          <w:rFonts w:cs="Times New Roman"/>
        </w:rPr>
        <w:t>usies</w:t>
      </w:r>
      <w:r w:rsidR="003A2EEF" w:rsidRPr="00AC344A">
        <w:rPr>
          <w:rFonts w:cs="Times New Roman"/>
        </w:rPr>
        <w:t xml:space="preserve"> tiesas sēdes audioprotokolu.</w:t>
      </w:r>
    </w:p>
    <w:p w:rsidR="00660383" w:rsidRPr="00AC344A" w:rsidRDefault="00131403" w:rsidP="00AC344A">
      <w:pPr>
        <w:spacing w:line="360" w:lineRule="auto"/>
        <w:ind w:firstLine="720"/>
        <w:jc w:val="both"/>
        <w:rPr>
          <w:rFonts w:cs="Times New Roman"/>
        </w:rPr>
      </w:pPr>
      <w:r w:rsidRPr="00AC344A">
        <w:rPr>
          <w:rFonts w:cs="Times New Roman"/>
        </w:rPr>
        <w:t xml:space="preserve">Komisija konstatēja, </w:t>
      </w:r>
      <w:r w:rsidR="00FC7B9E">
        <w:rPr>
          <w:rFonts w:cs="Times New Roman"/>
        </w:rPr>
        <w:t xml:space="preserve">ka </w:t>
      </w:r>
      <w:r w:rsidR="008429CA" w:rsidRPr="00AC344A">
        <w:rPr>
          <w:rFonts w:cs="Times New Roman"/>
        </w:rPr>
        <w:t>tiesas sēdes vadības stils nav lietišķs</w:t>
      </w:r>
      <w:r w:rsidR="009D0FC2" w:rsidRPr="00AC344A">
        <w:rPr>
          <w:rFonts w:cs="Times New Roman"/>
        </w:rPr>
        <w:t xml:space="preserve"> un</w:t>
      </w:r>
      <w:r w:rsidR="008429CA" w:rsidRPr="00AC344A">
        <w:rPr>
          <w:rFonts w:cs="Times New Roman"/>
        </w:rPr>
        <w:t xml:space="preserve"> korekts</w:t>
      </w:r>
      <w:r w:rsidR="009D0FC2" w:rsidRPr="00AC344A">
        <w:rPr>
          <w:rFonts w:cs="Times New Roman"/>
        </w:rPr>
        <w:t>. T</w:t>
      </w:r>
      <w:r w:rsidR="008429CA" w:rsidRPr="00AC344A">
        <w:rPr>
          <w:rFonts w:cs="Times New Roman"/>
        </w:rPr>
        <w:t xml:space="preserve">iesneša komentāru un </w:t>
      </w:r>
      <w:r w:rsidR="005452D6" w:rsidRPr="00AC344A">
        <w:rPr>
          <w:rFonts w:cs="Times New Roman"/>
        </w:rPr>
        <w:t xml:space="preserve">skaidrojuma </w:t>
      </w:r>
      <w:r w:rsidR="005452D6" w:rsidRPr="00A84335">
        <w:rPr>
          <w:rFonts w:cs="Times New Roman"/>
        </w:rPr>
        <w:t>apmērs aizņem ievērojamu daļu no tiesas sēdes laika</w:t>
      </w:r>
      <w:r w:rsidR="005452D6" w:rsidRPr="00AC344A">
        <w:rPr>
          <w:rFonts w:cs="Times New Roman"/>
        </w:rPr>
        <w:t xml:space="preserve">, </w:t>
      </w:r>
      <w:r w:rsidR="00660383" w:rsidRPr="00AC344A">
        <w:rPr>
          <w:rFonts w:cs="Times New Roman"/>
        </w:rPr>
        <w:t xml:space="preserve">turklāt </w:t>
      </w:r>
      <w:r w:rsidR="006A1EBB" w:rsidRPr="00AC344A">
        <w:rPr>
          <w:rFonts w:cs="Times New Roman"/>
        </w:rPr>
        <w:t>tie lielākoties</w:t>
      </w:r>
      <w:r w:rsidR="00660383" w:rsidRPr="00AC344A">
        <w:rPr>
          <w:rFonts w:cs="Times New Roman"/>
        </w:rPr>
        <w:t xml:space="preserve"> nav saistīti ar Civilprocesa likumā noteikto tiesas pienākumu izskaidrot lietas dalībniekiem viņu tiesības un pienākumus, procesuālo darbību </w:t>
      </w:r>
      <w:r w:rsidR="006A1EBB" w:rsidRPr="00AC344A">
        <w:rPr>
          <w:rFonts w:cs="Times New Roman"/>
        </w:rPr>
        <w:t xml:space="preserve">izdarīšanas vai neizdarīšanas </w:t>
      </w:r>
      <w:r w:rsidR="00660383" w:rsidRPr="00AC344A">
        <w:rPr>
          <w:rFonts w:cs="Times New Roman"/>
        </w:rPr>
        <w:t xml:space="preserve">sekas, </w:t>
      </w:r>
      <w:r w:rsidR="006A1EBB" w:rsidRPr="00AC344A">
        <w:rPr>
          <w:rFonts w:cs="Times New Roman"/>
        </w:rPr>
        <w:t>būtisku lietas apstākļu noskaidrošanu.</w:t>
      </w:r>
    </w:p>
    <w:p w:rsidR="008429CA" w:rsidRPr="00AC344A" w:rsidRDefault="000A7DBC" w:rsidP="00355886">
      <w:pPr>
        <w:spacing w:line="360" w:lineRule="auto"/>
        <w:ind w:firstLine="720"/>
        <w:jc w:val="both"/>
        <w:rPr>
          <w:rFonts w:cs="Times New Roman"/>
        </w:rPr>
      </w:pPr>
      <w:r w:rsidRPr="00AC344A">
        <w:rPr>
          <w:rFonts w:cs="Times New Roman"/>
        </w:rPr>
        <w:t>Kā tas ir dzirdams tiesas sēdes ierakstā, tiesnes</w:t>
      </w:r>
      <w:r w:rsidR="008429CA" w:rsidRPr="00AC344A">
        <w:rPr>
          <w:rFonts w:cs="Times New Roman"/>
        </w:rPr>
        <w:t xml:space="preserve">im </w:t>
      </w:r>
      <w:r w:rsidRPr="00AC344A">
        <w:rPr>
          <w:rFonts w:cs="Times New Roman"/>
        </w:rPr>
        <w:t xml:space="preserve">visas tiesas sēdes gaitā ir raksturīga sava </w:t>
      </w:r>
      <w:r w:rsidR="008400BC" w:rsidRPr="00AC344A">
        <w:rPr>
          <w:rFonts w:cs="Times New Roman"/>
        </w:rPr>
        <w:t>personiskā (</w:t>
      </w:r>
      <w:r w:rsidR="00D77829" w:rsidRPr="00AC344A">
        <w:rPr>
          <w:rFonts w:cs="Times New Roman"/>
        </w:rPr>
        <w:t>ne</w:t>
      </w:r>
      <w:r w:rsidR="009D0FC2" w:rsidRPr="00AC344A">
        <w:rPr>
          <w:rFonts w:cs="Times New Roman"/>
        </w:rPr>
        <w:t>vis</w:t>
      </w:r>
      <w:r w:rsidR="008400BC" w:rsidRPr="00AC344A">
        <w:rPr>
          <w:rFonts w:cs="Times New Roman"/>
        </w:rPr>
        <w:t xml:space="preserve"> tiesas)</w:t>
      </w:r>
      <w:r w:rsidR="00D77829" w:rsidRPr="00AC344A">
        <w:rPr>
          <w:rFonts w:cs="Times New Roman"/>
        </w:rPr>
        <w:t xml:space="preserve"> </w:t>
      </w:r>
      <w:r w:rsidRPr="00AC344A">
        <w:rPr>
          <w:rFonts w:cs="Times New Roman"/>
        </w:rPr>
        <w:t>viedokļa paušana, situācijas vai lietas dalībnieku teiktā komentēšana.</w:t>
      </w:r>
      <w:r w:rsidR="008429CA" w:rsidRPr="00AC344A">
        <w:rPr>
          <w:rFonts w:cs="Times New Roman"/>
        </w:rPr>
        <w:t xml:space="preserve"> </w:t>
      </w:r>
      <w:r w:rsidR="00E808CF" w:rsidRPr="00AC344A">
        <w:rPr>
          <w:rFonts w:cs="Times New Roman"/>
        </w:rPr>
        <w:t>S</w:t>
      </w:r>
      <w:r w:rsidR="008429CA" w:rsidRPr="00AC344A">
        <w:rPr>
          <w:rFonts w:cs="Times New Roman"/>
        </w:rPr>
        <w:t>adzīvisku sarunu līmenis tiek pārnests</w:t>
      </w:r>
      <w:r w:rsidR="00E808CF" w:rsidRPr="00AC344A">
        <w:rPr>
          <w:rFonts w:cs="Times New Roman"/>
        </w:rPr>
        <w:t xml:space="preserve"> tiesas zālē, t</w:t>
      </w:r>
      <w:r w:rsidR="008429CA" w:rsidRPr="00AC344A">
        <w:rPr>
          <w:rFonts w:cs="Times New Roman"/>
        </w:rPr>
        <w:t>iesnesis pauž personisko pieredzi, izsaka subjektīvu viedokli, kā cilvēkiem būtu jārīkojas dažādās sadzīviskās dzīves situācijās</w:t>
      </w:r>
      <w:r w:rsidR="00A84335">
        <w:rPr>
          <w:rFonts w:cs="Times New Roman"/>
        </w:rPr>
        <w:t>.</w:t>
      </w:r>
    </w:p>
    <w:p w:rsidR="008429CA" w:rsidRPr="00AC344A" w:rsidRDefault="00F63A32" w:rsidP="00355886">
      <w:pPr>
        <w:spacing w:line="360" w:lineRule="auto"/>
        <w:ind w:firstLine="720"/>
        <w:jc w:val="both"/>
        <w:rPr>
          <w:rFonts w:cs="Times New Roman"/>
        </w:rPr>
      </w:pPr>
      <w:r w:rsidRPr="00AC344A">
        <w:rPr>
          <w:rFonts w:cs="Times New Roman"/>
        </w:rPr>
        <w:t>No tiesa sēdes ieraksta dzirdams, ka a</w:t>
      </w:r>
      <w:r w:rsidR="00131403" w:rsidRPr="00AC344A">
        <w:rPr>
          <w:rFonts w:cs="Times New Roman"/>
        </w:rPr>
        <w:t xml:space="preserve">tsevišķi </w:t>
      </w:r>
      <w:r w:rsidR="006A1EBB" w:rsidRPr="00AC344A">
        <w:rPr>
          <w:rFonts w:cs="Times New Roman"/>
        </w:rPr>
        <w:t xml:space="preserve">jautājumi un </w:t>
      </w:r>
      <w:r w:rsidR="00131403" w:rsidRPr="00AC344A">
        <w:rPr>
          <w:rFonts w:cs="Times New Roman"/>
        </w:rPr>
        <w:t>komentāri nav p</w:t>
      </w:r>
      <w:r w:rsidR="008429CA" w:rsidRPr="00AC344A">
        <w:rPr>
          <w:rFonts w:cs="Times New Roman"/>
        </w:rPr>
        <w:t>ieļaujami, ir cieņu aizskaroši. Kā netaktisks un personisks ir vērtējams tiesneša jautājums un komentāri attiecībā uz prasītājas personiskās, pat intīmās dzīves faktiem un lietas dalībnieku savstarpējām attiecībām un pienākumiem.</w:t>
      </w:r>
    </w:p>
    <w:p w:rsidR="00D77829" w:rsidRPr="00AC344A" w:rsidRDefault="00131403" w:rsidP="00AC344A">
      <w:pPr>
        <w:spacing w:line="360" w:lineRule="auto"/>
        <w:ind w:firstLine="720"/>
        <w:jc w:val="both"/>
        <w:rPr>
          <w:rFonts w:cs="Times New Roman"/>
        </w:rPr>
      </w:pPr>
      <w:r w:rsidRPr="00AC344A">
        <w:rPr>
          <w:rFonts w:cs="Times New Roman"/>
        </w:rPr>
        <w:t>Novērojams audzinošs tonis, tiesnesis vēlas pamācīt un pāraudzināt lietas dalībniekus.</w:t>
      </w:r>
      <w:r w:rsidR="00A84335">
        <w:rPr>
          <w:rFonts w:cs="Times New Roman"/>
        </w:rPr>
        <w:t xml:space="preserve"> </w:t>
      </w:r>
      <w:r w:rsidR="00E808CF" w:rsidRPr="00AC344A">
        <w:rPr>
          <w:rFonts w:cs="Times New Roman"/>
        </w:rPr>
        <w:t>S</w:t>
      </w:r>
      <w:r w:rsidRPr="00AC344A">
        <w:rPr>
          <w:rFonts w:cs="Times New Roman"/>
        </w:rPr>
        <w:t>ituācijas lietas izskatīšanas</w:t>
      </w:r>
      <w:r w:rsidR="006406CF" w:rsidRPr="00AC344A">
        <w:rPr>
          <w:rFonts w:cs="Times New Roman"/>
        </w:rPr>
        <w:t xml:space="preserve"> </w:t>
      </w:r>
      <w:r w:rsidR="00943CD2" w:rsidRPr="00AC344A">
        <w:rPr>
          <w:rFonts w:cs="Times New Roman"/>
        </w:rPr>
        <w:t xml:space="preserve">gaitā </w:t>
      </w:r>
      <w:r w:rsidR="00E808CF" w:rsidRPr="00AC344A">
        <w:rPr>
          <w:rFonts w:cs="Times New Roman"/>
        </w:rPr>
        <w:t xml:space="preserve">tiesnesis </w:t>
      </w:r>
      <w:r w:rsidRPr="00AC344A">
        <w:rPr>
          <w:rFonts w:cs="Times New Roman"/>
        </w:rPr>
        <w:t xml:space="preserve">nerisina ar </w:t>
      </w:r>
      <w:r w:rsidR="00660383" w:rsidRPr="00AC344A">
        <w:rPr>
          <w:rFonts w:cs="Times New Roman"/>
        </w:rPr>
        <w:t>likumā paredzēt</w:t>
      </w:r>
      <w:r w:rsidR="006A1EBB" w:rsidRPr="00AC344A">
        <w:rPr>
          <w:rFonts w:cs="Times New Roman"/>
        </w:rPr>
        <w:t>o procesuāl</w:t>
      </w:r>
      <w:r w:rsidR="002207A8" w:rsidRPr="00A84335">
        <w:rPr>
          <w:rFonts w:cs="Times New Roman"/>
        </w:rPr>
        <w:t>o</w:t>
      </w:r>
      <w:r w:rsidR="006A1EBB" w:rsidRPr="00AC344A">
        <w:rPr>
          <w:rFonts w:cs="Times New Roman"/>
        </w:rPr>
        <w:t xml:space="preserve"> līdzekļu palīdzību, bet </w:t>
      </w:r>
      <w:r w:rsidR="00F63A32" w:rsidRPr="00AC344A">
        <w:rPr>
          <w:rFonts w:cs="Times New Roman"/>
        </w:rPr>
        <w:t xml:space="preserve">izskata </w:t>
      </w:r>
      <w:r w:rsidR="006A1EBB" w:rsidRPr="00AC344A">
        <w:rPr>
          <w:rFonts w:cs="Times New Roman"/>
        </w:rPr>
        <w:t>sadzīvisk</w:t>
      </w:r>
      <w:r w:rsidR="00F63A32" w:rsidRPr="00AC344A">
        <w:rPr>
          <w:rFonts w:cs="Times New Roman"/>
        </w:rPr>
        <w:t>u</w:t>
      </w:r>
      <w:r w:rsidR="006A1EBB" w:rsidRPr="00AC344A">
        <w:rPr>
          <w:rFonts w:cs="Times New Roman"/>
        </w:rPr>
        <w:t xml:space="preserve"> sarun</w:t>
      </w:r>
      <w:r w:rsidR="00F63A32" w:rsidRPr="00AC344A">
        <w:rPr>
          <w:rFonts w:cs="Times New Roman"/>
        </w:rPr>
        <w:t>u</w:t>
      </w:r>
      <w:r w:rsidR="006A1EBB" w:rsidRPr="00AC344A">
        <w:rPr>
          <w:rFonts w:cs="Times New Roman"/>
        </w:rPr>
        <w:t xml:space="preserve"> līmen</w:t>
      </w:r>
      <w:r w:rsidR="00F63A32" w:rsidRPr="00AC344A">
        <w:rPr>
          <w:rFonts w:cs="Times New Roman"/>
        </w:rPr>
        <w:t>ī</w:t>
      </w:r>
      <w:r w:rsidR="006A1EBB" w:rsidRPr="00AC344A">
        <w:rPr>
          <w:rFonts w:cs="Times New Roman"/>
        </w:rPr>
        <w:t>, kam trūkst juridiska pamatojuma.</w:t>
      </w:r>
    </w:p>
    <w:p w:rsidR="00D77829" w:rsidRPr="00AC344A" w:rsidRDefault="00D77829" w:rsidP="00AC344A">
      <w:pPr>
        <w:spacing w:line="360" w:lineRule="auto"/>
        <w:ind w:firstLine="720"/>
        <w:jc w:val="both"/>
        <w:rPr>
          <w:rFonts w:cs="Times New Roman"/>
        </w:rPr>
      </w:pPr>
      <w:r w:rsidRPr="00AC344A">
        <w:rPr>
          <w:rFonts w:cs="Times New Roman"/>
        </w:rPr>
        <w:t>No tiesas sēdes ieraksta iespējams noprast, ka tiesnesis iesniegto pieteikumu par pagaidu aizsardzību pret vardarbību uzskata par nepamatoti iesniegtu, lai ietekmētu civillietas izskatīšanas rezultātu</w:t>
      </w:r>
      <w:r w:rsidR="006A1EBB" w:rsidRPr="00AC344A">
        <w:rPr>
          <w:rFonts w:cs="Times New Roman"/>
        </w:rPr>
        <w:t>,</w:t>
      </w:r>
      <w:r w:rsidRPr="00AC344A">
        <w:rPr>
          <w:rFonts w:cs="Times New Roman"/>
        </w:rPr>
        <w:t xml:space="preserve"> izsaka komentārus un zināmā mērā izrāda savu aizkaitinājumu par to.</w:t>
      </w:r>
    </w:p>
    <w:p w:rsidR="00C472D2" w:rsidRPr="00AC344A" w:rsidRDefault="00C472D2" w:rsidP="00AC344A">
      <w:pPr>
        <w:spacing w:line="360" w:lineRule="auto"/>
        <w:ind w:firstLine="720"/>
        <w:jc w:val="both"/>
        <w:rPr>
          <w:rFonts w:cs="Times New Roman"/>
        </w:rPr>
      </w:pPr>
      <w:r w:rsidRPr="00AC344A">
        <w:rPr>
          <w:rFonts w:cs="Times New Roman"/>
        </w:rPr>
        <w:t>Tiesnes</w:t>
      </w:r>
      <w:r w:rsidR="008C1F12" w:rsidRPr="00AC344A">
        <w:rPr>
          <w:rFonts w:cs="Times New Roman"/>
        </w:rPr>
        <w:t>is</w:t>
      </w:r>
      <w:r w:rsidRPr="00AC344A">
        <w:rPr>
          <w:rFonts w:cs="Times New Roman"/>
        </w:rPr>
        <w:t xml:space="preserve"> tiesas sēdes laikā </w:t>
      </w:r>
      <w:r w:rsidR="006A1EBB" w:rsidRPr="00AC344A">
        <w:rPr>
          <w:rFonts w:cs="Times New Roman"/>
        </w:rPr>
        <w:t>pārtrauc</w:t>
      </w:r>
      <w:r w:rsidR="006406CF" w:rsidRPr="00AC344A">
        <w:rPr>
          <w:rFonts w:cs="Times New Roman"/>
        </w:rPr>
        <w:t xml:space="preserve"> advokātes uzdoto jautājumu ar vārdiem: “Man nav laika uzklausīt Jūsu jautājumus</w:t>
      </w:r>
      <w:r w:rsidR="00660383" w:rsidRPr="00AC344A">
        <w:rPr>
          <w:rFonts w:cs="Times New Roman"/>
        </w:rPr>
        <w:t xml:space="preserve">”, </w:t>
      </w:r>
      <w:r w:rsidR="00E808CF" w:rsidRPr="00AC344A">
        <w:rPr>
          <w:rFonts w:cs="Times New Roman"/>
        </w:rPr>
        <w:t>neļauj to uzdot</w:t>
      </w:r>
      <w:r w:rsidR="00D77829" w:rsidRPr="00AC344A">
        <w:rPr>
          <w:rFonts w:cs="Times New Roman"/>
        </w:rPr>
        <w:t xml:space="preserve">, </w:t>
      </w:r>
      <w:r w:rsidR="00E808CF" w:rsidRPr="00AC344A">
        <w:rPr>
          <w:rFonts w:cs="Times New Roman"/>
        </w:rPr>
        <w:t xml:space="preserve">ierobežojot viņas tiesības un </w:t>
      </w:r>
      <w:r w:rsidR="00D77829" w:rsidRPr="00AC344A">
        <w:rPr>
          <w:rFonts w:cs="Times New Roman"/>
        </w:rPr>
        <w:t>pieļaujot paaugstinātu balss toni, ko var uztvert kā nepatiku pret prasītājas pārstāvi un pienākumu izskatīt iesniegto pieteikumu.</w:t>
      </w:r>
    </w:p>
    <w:p w:rsidR="003357CA" w:rsidRDefault="003357CA" w:rsidP="00355886">
      <w:pPr>
        <w:pStyle w:val="Paraststmeklis"/>
        <w:spacing w:line="360" w:lineRule="auto"/>
        <w:ind w:firstLine="720"/>
        <w:jc w:val="both"/>
      </w:pPr>
    </w:p>
    <w:p w:rsidR="005452D6" w:rsidRPr="00A84335" w:rsidRDefault="002207A8" w:rsidP="00355886">
      <w:pPr>
        <w:pStyle w:val="Paraststmeklis"/>
        <w:spacing w:line="360" w:lineRule="auto"/>
        <w:ind w:firstLine="720"/>
        <w:jc w:val="both"/>
        <w:rPr>
          <w:color w:val="000000"/>
        </w:rPr>
      </w:pPr>
      <w:r w:rsidRPr="00AC344A">
        <w:t>[9</w:t>
      </w:r>
      <w:r w:rsidR="008C1F12" w:rsidRPr="00AC344A">
        <w:t>]</w:t>
      </w:r>
      <w:r w:rsidR="00A84335">
        <w:t> </w:t>
      </w:r>
      <w:r w:rsidR="005452D6" w:rsidRPr="00A84335">
        <w:rPr>
          <w:color w:val="000000"/>
        </w:rPr>
        <w:t xml:space="preserve">Novērtējot tiesneša uzvedību konkrētajā tiesas sēdē, Tiesnešu ētikas komisija secina, ka pārlieka komentēšana un sadzīvisku situāciju skaidrošana, izmantojot personiskajā dzīvē </w:t>
      </w:r>
      <w:r w:rsidR="005452D6" w:rsidRPr="00A84335">
        <w:rPr>
          <w:color w:val="000000"/>
        </w:rPr>
        <w:lastRenderedPageBreak/>
        <w:t>gūto pieredzi, novērojumus un subjektīvas atziņas, neatbilda tiem profesionālajiem standartiem, kas tiesnesim noteikti Tiesnešu ētikas kodeksā, lai nodrošinātu efektīvu lietas iztiesāšanu un augstu uzvedības kultūras normu ievērošanu, kā arī varēja radīt šaubas par tiesas objektivitāti un autoritāti.</w:t>
      </w:r>
    </w:p>
    <w:p w:rsidR="005452D6" w:rsidRPr="00A84335" w:rsidRDefault="005452D6" w:rsidP="00AC344A">
      <w:pPr>
        <w:pStyle w:val="Paraststmeklis"/>
        <w:spacing w:line="360" w:lineRule="auto"/>
        <w:ind w:firstLine="720"/>
        <w:jc w:val="both"/>
        <w:rPr>
          <w:color w:val="000000"/>
        </w:rPr>
      </w:pPr>
      <w:r w:rsidRPr="00A84335">
        <w:rPr>
          <w:color w:val="000000"/>
        </w:rPr>
        <w:t>Tiesnešu ētikas komisija uzskata, ka, vadot tiesas sēdi, tiesnesim jādarbojas likumā noteikto tiesību un pienākumu robežās, noskaidrojot lietā nozīmīgos faktus un apstākļus, uzdodot jautājumus par tiem, izskaidrojot pušu tiesības un pienākumus, un visas situācijas tiesas zālē risinot ar likumā paredzēto procesuālo līdzekļu palīdzību, nevis aizstājot tos ar komentāriem par tiesneša personisko viedokli un skaidrojumiem par lietas dalībnieku uzvedību, kam izskatāmajā lietā nav būtiskas nozīmes. Tai pašā laikā Tiesnešu ētikas komisija neizslēdz iespēju, ka tiesnesis, balstoties uz savu personisko pieredzi, noskaidro kādus lietā būtiskus apstākļus, piemēram, ja lietas dalībnieks apgalvo kaut ko tādu, kas pēc tiesneša pieredzes pavisam neatbilst patiesībai. Tomēr konkrētajā gadījumā tiesnesis šo robežu pārkāpa.</w:t>
      </w:r>
    </w:p>
    <w:p w:rsidR="005452D6" w:rsidRPr="00A84335" w:rsidRDefault="005452D6" w:rsidP="00AC344A">
      <w:pPr>
        <w:pStyle w:val="Paraststmeklis"/>
        <w:spacing w:line="360" w:lineRule="auto"/>
        <w:ind w:firstLine="720"/>
        <w:jc w:val="both"/>
        <w:rPr>
          <w:color w:val="000000"/>
        </w:rPr>
      </w:pPr>
      <w:r w:rsidRPr="00A84335">
        <w:rPr>
          <w:color w:val="000000"/>
        </w:rPr>
        <w:t>Komisija arī norāda, ka pieteikuma (prasības pieteikuma) juridiskais vērtējums tiesnesim jāsniedz nolēmumā, izvērtējot pušu paskaidrojumus, iesniegtos pierādījumus un pieteikuma pamatotību, nevis ar sadzīvisku komentāru palīdzību tiesas zālē. Turklāt tiesnesis nedrīkst aizbildināties ar laika trūkumu un nākamās tiesas sēdes kavēšanu, aizskarot lietas dalībnieku procesuālās tiesības, vēl jo vairāk, ja konkrētajā gadījumā pats ir pieļāvis neefektīvu tiesas sēdes vadīšanas stilu, kas lielā mērā ir iemesls nākamās tiesas sēdes kavēšanai. Tiesnesim var rasties neplānotas situācijas, kad objektīvi tiek kavēta nākamā tiesas sēde, taču šāda situācija risināma korekti, nepieļaujot lietas dalībnieku procesuālo tiesību neievērošanu un necienīgu attieksmi. Konkrētā situācija nevarēja būt par pamatu nepacietībai, neiecietībai, balss pacelšanai, tiesnesim bija jāsaglabā cieņpilna attieksme un pieklājīga uzvedība.</w:t>
      </w:r>
    </w:p>
    <w:p w:rsidR="00C611E7" w:rsidRPr="00AC344A" w:rsidRDefault="005452D6" w:rsidP="00AC344A">
      <w:pPr>
        <w:spacing w:line="360" w:lineRule="auto"/>
        <w:ind w:firstLine="720"/>
        <w:jc w:val="both"/>
        <w:rPr>
          <w:rFonts w:cs="Times New Roman"/>
        </w:rPr>
      </w:pPr>
      <w:r w:rsidRPr="00A84335">
        <w:rPr>
          <w:rFonts w:cs="Times New Roman"/>
          <w:color w:val="000000"/>
        </w:rPr>
        <w:t>Konkrētajā gadījumā tiesnesis nav ievērojis ētikas normas tiesas sēdē, nav ņēmis vērā Tiesnešu ētikas komisijas jau iepriekšējos atzinumos un skaidrojumos norādīto. Tai skaitā to, ka pēc jebkuras tiesneša rīcības sabiedrība vērtē arī viņa spējas izskatīt tiesu lietas taisnīgi, neatkarīgi un objektīvi. Turklāt katra tiesneša uzvedība atstāj iespaidu uz sabiedrības viedokli par tiesu varu (</w:t>
      </w:r>
      <w:r w:rsidRPr="00A84335">
        <w:rPr>
          <w:rFonts w:cs="Times New Roman"/>
          <w:i/>
          <w:color w:val="000000"/>
        </w:rPr>
        <w:t>sk. 2015.gada 16.oktobra skaidrojuma 3.punktu</w:t>
      </w:r>
      <w:r w:rsidRPr="00A84335">
        <w:rPr>
          <w:rFonts w:cs="Times New Roman"/>
          <w:color w:val="000000"/>
        </w:rPr>
        <w:t xml:space="preserve">) un sekmē vai grauj tiesu varas autoritāti. </w:t>
      </w:r>
      <w:r w:rsidRPr="00A84335">
        <w:rPr>
          <w:rFonts w:eastAsia="Times New Roman" w:cs="Times New Roman"/>
          <w:color w:val="000000"/>
        </w:rPr>
        <w:t>Šā</w:t>
      </w:r>
      <w:r w:rsidRPr="00A84335">
        <w:rPr>
          <w:rFonts w:cs="Times New Roman"/>
          <w:color w:val="000000"/>
        </w:rPr>
        <w:t>dā situācijā persona uzlūko konkrēto tiesnesi kā visu tiesu varu pārstāvošu un asociē pret sevi vērsto rīcību ar tiesu varas attieksmi kopumā. Tādējādi katra tiesneša rīcība ietekmē tiesu varas autoritāti.</w:t>
      </w:r>
    </w:p>
    <w:p w:rsidR="0057020B" w:rsidRPr="00AC344A" w:rsidRDefault="0057020B" w:rsidP="00AC344A">
      <w:pPr>
        <w:pStyle w:val="Pamattekstapirmatkpe"/>
        <w:spacing w:after="0" w:line="360" w:lineRule="auto"/>
        <w:ind w:firstLine="540"/>
        <w:jc w:val="both"/>
        <w:rPr>
          <w:rFonts w:ascii="Times New Roman" w:hAnsi="Times New Roman"/>
          <w:sz w:val="24"/>
          <w:szCs w:val="24"/>
          <w:lang w:val="lv-LV"/>
        </w:rPr>
      </w:pPr>
    </w:p>
    <w:p w:rsidR="00C6609E" w:rsidRDefault="005452D6" w:rsidP="00355886">
      <w:pPr>
        <w:pStyle w:val="Pamattekstapirmatkpe"/>
        <w:spacing w:after="0" w:line="360" w:lineRule="auto"/>
        <w:ind w:firstLine="709"/>
        <w:jc w:val="both"/>
        <w:rPr>
          <w:rFonts w:ascii="Times New Roman" w:hAnsi="Times New Roman"/>
          <w:sz w:val="24"/>
          <w:szCs w:val="24"/>
          <w:lang w:val="lv-LV"/>
        </w:rPr>
      </w:pPr>
      <w:r w:rsidRPr="00AC344A">
        <w:rPr>
          <w:rFonts w:ascii="Times New Roman" w:hAnsi="Times New Roman"/>
          <w:sz w:val="24"/>
          <w:szCs w:val="24"/>
          <w:lang w:val="lv-LV"/>
        </w:rPr>
        <w:t>[10</w:t>
      </w:r>
      <w:r w:rsidR="00A80252" w:rsidRPr="00AC344A">
        <w:rPr>
          <w:rFonts w:ascii="Times New Roman" w:hAnsi="Times New Roman"/>
          <w:sz w:val="24"/>
          <w:szCs w:val="24"/>
          <w:lang w:val="lv-LV"/>
        </w:rPr>
        <w:t>]</w:t>
      </w:r>
      <w:r w:rsidR="00355886">
        <w:rPr>
          <w:rFonts w:ascii="Times New Roman" w:hAnsi="Times New Roman"/>
          <w:sz w:val="24"/>
          <w:szCs w:val="24"/>
          <w:lang w:val="lv-LV"/>
        </w:rPr>
        <w:t> </w:t>
      </w:r>
      <w:r w:rsidR="00A80252" w:rsidRPr="00AC344A">
        <w:rPr>
          <w:rFonts w:ascii="Times New Roman" w:hAnsi="Times New Roman"/>
          <w:sz w:val="24"/>
          <w:szCs w:val="24"/>
          <w:lang w:val="lv-LV"/>
        </w:rPr>
        <w:t>Tiesnesis</w:t>
      </w:r>
      <w:r w:rsidR="00C6609E" w:rsidRPr="00AC344A">
        <w:rPr>
          <w:rFonts w:ascii="Times New Roman" w:hAnsi="Times New Roman"/>
          <w:sz w:val="24"/>
          <w:szCs w:val="24"/>
          <w:lang w:val="lv-LV"/>
        </w:rPr>
        <w:t xml:space="preserve"> pārkāp</w:t>
      </w:r>
      <w:r w:rsidR="00A80252" w:rsidRPr="00AC344A">
        <w:rPr>
          <w:rFonts w:ascii="Times New Roman" w:hAnsi="Times New Roman"/>
          <w:sz w:val="24"/>
          <w:szCs w:val="24"/>
          <w:lang w:val="lv-LV"/>
        </w:rPr>
        <w:t>is</w:t>
      </w:r>
      <w:r w:rsidR="00C6609E" w:rsidRPr="00AC344A">
        <w:rPr>
          <w:rFonts w:ascii="Times New Roman" w:hAnsi="Times New Roman"/>
          <w:sz w:val="24"/>
          <w:szCs w:val="24"/>
          <w:lang w:val="lv-LV"/>
        </w:rPr>
        <w:t xml:space="preserve"> Tiesnešu ētikas kodeksa </w:t>
      </w:r>
      <w:r w:rsidR="009F0E19" w:rsidRPr="00AC344A">
        <w:rPr>
          <w:rFonts w:ascii="Times New Roman" w:hAnsi="Times New Roman"/>
          <w:sz w:val="24"/>
          <w:szCs w:val="24"/>
          <w:lang w:val="lv-LV"/>
        </w:rPr>
        <w:t xml:space="preserve">1.kanona </w:t>
      </w:r>
      <w:r w:rsidR="00514D0A" w:rsidRPr="00AC344A">
        <w:rPr>
          <w:rFonts w:ascii="Times New Roman" w:hAnsi="Times New Roman"/>
          <w:sz w:val="24"/>
          <w:szCs w:val="24"/>
          <w:lang w:val="lv-LV"/>
        </w:rPr>
        <w:t>3</w:t>
      </w:r>
      <w:r w:rsidR="009F0E19" w:rsidRPr="00AC344A">
        <w:rPr>
          <w:rFonts w:ascii="Times New Roman" w:hAnsi="Times New Roman"/>
          <w:sz w:val="24"/>
          <w:szCs w:val="24"/>
          <w:lang w:val="lv-LV"/>
        </w:rPr>
        <w:t>. un 4.punk</w:t>
      </w:r>
      <w:r w:rsidR="002207A8" w:rsidRPr="00355886">
        <w:rPr>
          <w:rFonts w:ascii="Times New Roman" w:hAnsi="Times New Roman"/>
          <w:sz w:val="24"/>
          <w:szCs w:val="24"/>
          <w:lang w:val="lv-LV"/>
        </w:rPr>
        <w:t>t</w:t>
      </w:r>
      <w:r w:rsidR="009F0E19" w:rsidRPr="00355886">
        <w:rPr>
          <w:rFonts w:ascii="Times New Roman" w:hAnsi="Times New Roman"/>
          <w:sz w:val="24"/>
          <w:szCs w:val="24"/>
          <w:lang w:val="lv-LV"/>
        </w:rPr>
        <w:t>u</w:t>
      </w:r>
      <w:r w:rsidR="009F0E19" w:rsidRPr="00AC344A">
        <w:rPr>
          <w:rFonts w:ascii="Times New Roman" w:hAnsi="Times New Roman"/>
          <w:sz w:val="24"/>
          <w:szCs w:val="24"/>
          <w:lang w:val="lv-LV"/>
        </w:rPr>
        <w:t xml:space="preserve">, </w:t>
      </w:r>
      <w:r w:rsidR="00514D0A" w:rsidRPr="00AC344A">
        <w:rPr>
          <w:rFonts w:ascii="Times New Roman" w:hAnsi="Times New Roman"/>
          <w:sz w:val="24"/>
          <w:szCs w:val="24"/>
          <w:lang w:val="lv-LV"/>
        </w:rPr>
        <w:t xml:space="preserve">2.kanona 2. un 3.punktu, </w:t>
      </w:r>
      <w:r w:rsidR="00C6609E" w:rsidRPr="00AC344A">
        <w:rPr>
          <w:rFonts w:ascii="Times New Roman" w:hAnsi="Times New Roman"/>
          <w:sz w:val="24"/>
          <w:szCs w:val="24"/>
          <w:lang w:val="lv-LV"/>
        </w:rPr>
        <w:t xml:space="preserve">3.kanona </w:t>
      </w:r>
      <w:r w:rsidR="009F0E19" w:rsidRPr="00AC344A">
        <w:rPr>
          <w:rFonts w:ascii="Times New Roman" w:hAnsi="Times New Roman"/>
          <w:sz w:val="24"/>
          <w:szCs w:val="24"/>
          <w:lang w:val="lv-LV"/>
        </w:rPr>
        <w:t xml:space="preserve">6. un </w:t>
      </w:r>
      <w:r w:rsidR="00C6609E" w:rsidRPr="00AC344A">
        <w:rPr>
          <w:rFonts w:ascii="Times New Roman" w:hAnsi="Times New Roman"/>
          <w:sz w:val="24"/>
          <w:szCs w:val="24"/>
          <w:lang w:val="lv-LV"/>
        </w:rPr>
        <w:t xml:space="preserve">8.punktu, </w:t>
      </w:r>
      <w:r w:rsidR="009F0E19" w:rsidRPr="00AC344A">
        <w:rPr>
          <w:rFonts w:ascii="Times New Roman" w:hAnsi="Times New Roman"/>
          <w:sz w:val="24"/>
          <w:szCs w:val="24"/>
          <w:lang w:val="lv-LV"/>
        </w:rPr>
        <w:t>k</w:t>
      </w:r>
      <w:r w:rsidR="002207A8" w:rsidRPr="00AC344A">
        <w:rPr>
          <w:rFonts w:ascii="Times New Roman" w:hAnsi="Times New Roman"/>
          <w:sz w:val="24"/>
          <w:szCs w:val="24"/>
          <w:lang w:val="lv-LV"/>
        </w:rPr>
        <w:t>as</w:t>
      </w:r>
      <w:r w:rsidR="009F0E19" w:rsidRPr="00AC344A">
        <w:rPr>
          <w:rFonts w:ascii="Times New Roman" w:hAnsi="Times New Roman"/>
          <w:sz w:val="24"/>
          <w:szCs w:val="24"/>
          <w:lang w:val="lv-LV"/>
        </w:rPr>
        <w:t xml:space="preserve"> uzliek pienākumu tiesnesim, iztiesājot lietu darboties nosvērti un nesteidzīgi, tomēr efektīvi, kā arī </w:t>
      </w:r>
      <w:r w:rsidR="00C6609E" w:rsidRPr="00AC344A">
        <w:rPr>
          <w:rFonts w:ascii="Times New Roman" w:hAnsi="Times New Roman"/>
          <w:sz w:val="24"/>
          <w:szCs w:val="24"/>
          <w:lang w:val="lv-LV"/>
        </w:rPr>
        <w:t xml:space="preserve">izvairīties no vārdiem un runas, ko varētu uztvert </w:t>
      </w:r>
      <w:r w:rsidR="00C6609E" w:rsidRPr="00AC344A">
        <w:rPr>
          <w:rFonts w:ascii="Times New Roman" w:hAnsi="Times New Roman"/>
          <w:sz w:val="24"/>
          <w:szCs w:val="24"/>
          <w:lang w:val="lv-LV"/>
        </w:rPr>
        <w:lastRenderedPageBreak/>
        <w:t>kā neobjektivitāti vai aizspriedumu izpausmi. Tomēr, Tiesnešu ētikas komisijas ieskatā, pārkāpums nav atzīstams par rupju.</w:t>
      </w:r>
    </w:p>
    <w:p w:rsidR="00355886" w:rsidRPr="00AC344A" w:rsidRDefault="00355886" w:rsidP="00AC344A">
      <w:pPr>
        <w:pStyle w:val="Pamattekstapirmatkpe"/>
        <w:spacing w:after="0" w:line="360" w:lineRule="auto"/>
        <w:ind w:firstLine="540"/>
        <w:jc w:val="both"/>
        <w:rPr>
          <w:rFonts w:ascii="Times New Roman" w:hAnsi="Times New Roman"/>
          <w:sz w:val="24"/>
          <w:szCs w:val="24"/>
          <w:lang w:val="lv-LV"/>
        </w:rPr>
      </w:pPr>
    </w:p>
    <w:p w:rsidR="004E6E6D" w:rsidRPr="00AC344A" w:rsidRDefault="004E6E6D" w:rsidP="00AC344A">
      <w:pPr>
        <w:pStyle w:val="Sarakstaaizzme2"/>
        <w:jc w:val="both"/>
      </w:pPr>
      <w:r w:rsidRPr="00AC344A">
        <w:t>Ņemot vērā minēto, Tiesnešu ētikas komisija</w:t>
      </w:r>
    </w:p>
    <w:p w:rsidR="00355886" w:rsidRPr="00355886" w:rsidRDefault="00355886" w:rsidP="00355886">
      <w:pPr>
        <w:widowControl/>
        <w:suppressAutoHyphens w:val="0"/>
        <w:spacing w:line="360" w:lineRule="auto"/>
        <w:jc w:val="center"/>
        <w:rPr>
          <w:rFonts w:eastAsiaTheme="minorHAnsi" w:cstheme="minorBidi"/>
          <w:b/>
          <w:spacing w:val="20"/>
          <w:kern w:val="0"/>
          <w:szCs w:val="22"/>
          <w:lang w:eastAsia="en-US" w:bidi="ar-SA"/>
        </w:rPr>
      </w:pPr>
      <w:r w:rsidRPr="00355886">
        <w:rPr>
          <w:rFonts w:eastAsiaTheme="minorHAnsi" w:cstheme="minorBidi"/>
          <w:b/>
          <w:spacing w:val="20"/>
          <w:kern w:val="0"/>
          <w:szCs w:val="22"/>
          <w:lang w:eastAsia="en-US" w:bidi="ar-SA"/>
        </w:rPr>
        <w:t>atzīst:</w:t>
      </w:r>
    </w:p>
    <w:p w:rsidR="004E6E6D" w:rsidRPr="00AC344A" w:rsidRDefault="004E6E6D" w:rsidP="00AC344A">
      <w:pPr>
        <w:spacing w:line="360" w:lineRule="auto"/>
        <w:ind w:firstLine="720"/>
        <w:jc w:val="both"/>
        <w:rPr>
          <w:rFonts w:cs="Times New Roman"/>
        </w:rPr>
      </w:pPr>
      <w:r w:rsidRPr="00AC344A">
        <w:rPr>
          <w:rFonts w:cs="Times New Roman"/>
        </w:rPr>
        <w:t>tiesneša r</w:t>
      </w:r>
      <w:r w:rsidR="002207A8" w:rsidRPr="00AC344A">
        <w:rPr>
          <w:rFonts w:cs="Times New Roman"/>
        </w:rPr>
        <w:t>īcībā ir konstatējams Latvijas T</w:t>
      </w:r>
      <w:r w:rsidRPr="00AC344A">
        <w:rPr>
          <w:rFonts w:cs="Times New Roman"/>
        </w:rPr>
        <w:t xml:space="preserve">iesnešu ētikas kodeksa </w:t>
      </w:r>
      <w:bookmarkStart w:id="1" w:name="_Hlk522628117"/>
      <w:r w:rsidR="00836599" w:rsidRPr="00AC344A">
        <w:rPr>
          <w:rFonts w:cs="Times New Roman"/>
        </w:rPr>
        <w:t>1.kanona 3. un 4.punkt</w:t>
      </w:r>
      <w:r w:rsidR="002207A8" w:rsidRPr="00355886">
        <w:rPr>
          <w:rFonts w:cs="Times New Roman"/>
        </w:rPr>
        <w:t>a</w:t>
      </w:r>
      <w:r w:rsidR="00836599" w:rsidRPr="00355886">
        <w:rPr>
          <w:rFonts w:cs="Times New Roman"/>
        </w:rPr>
        <w:t>,</w:t>
      </w:r>
      <w:r w:rsidR="00836599" w:rsidRPr="00AC344A">
        <w:rPr>
          <w:rFonts w:cs="Times New Roman"/>
        </w:rPr>
        <w:t xml:space="preserve"> 2.kanona 2. un 3.punkt</w:t>
      </w:r>
      <w:r w:rsidR="002207A8" w:rsidRPr="00355886">
        <w:rPr>
          <w:rFonts w:cs="Times New Roman"/>
        </w:rPr>
        <w:t>a</w:t>
      </w:r>
      <w:r w:rsidR="00836599" w:rsidRPr="00355886">
        <w:rPr>
          <w:rFonts w:cs="Times New Roman"/>
        </w:rPr>
        <w:t>,</w:t>
      </w:r>
      <w:r w:rsidR="00836599" w:rsidRPr="00AC344A">
        <w:rPr>
          <w:rFonts w:cs="Times New Roman"/>
        </w:rPr>
        <w:t xml:space="preserve"> 3.kanona 6. un 8.punk</w:t>
      </w:r>
      <w:r w:rsidR="00836599" w:rsidRPr="00355886">
        <w:rPr>
          <w:rFonts w:cs="Times New Roman"/>
        </w:rPr>
        <w:t>t</w:t>
      </w:r>
      <w:r w:rsidR="002207A8" w:rsidRPr="00355886">
        <w:rPr>
          <w:rFonts w:cs="Times New Roman"/>
        </w:rPr>
        <w:t>a</w:t>
      </w:r>
      <w:bookmarkEnd w:id="1"/>
      <w:r w:rsidR="00836599" w:rsidRPr="00AC344A">
        <w:rPr>
          <w:rFonts w:cs="Times New Roman"/>
        </w:rPr>
        <w:t xml:space="preserve"> </w:t>
      </w:r>
      <w:r w:rsidRPr="00AC344A">
        <w:rPr>
          <w:rFonts w:cs="Times New Roman"/>
        </w:rPr>
        <w:t>pārkāpums;</w:t>
      </w:r>
    </w:p>
    <w:p w:rsidR="004E6E6D" w:rsidRPr="00AC344A" w:rsidRDefault="004E6E6D" w:rsidP="00AC344A">
      <w:pPr>
        <w:spacing w:line="360" w:lineRule="auto"/>
        <w:ind w:firstLine="720"/>
        <w:jc w:val="both"/>
        <w:rPr>
          <w:rFonts w:cs="Times New Roman"/>
        </w:rPr>
      </w:pPr>
      <w:r w:rsidRPr="00AC344A">
        <w:rPr>
          <w:rFonts w:cs="Times New Roman"/>
        </w:rPr>
        <w:t>disciplinārlietas ierosināšanai nav pamata, jo konstatētais ētikas normu pārkāpums nav rupjš.</w:t>
      </w:r>
    </w:p>
    <w:p w:rsidR="009672A2" w:rsidRPr="00AC344A" w:rsidRDefault="009672A2" w:rsidP="00AC344A">
      <w:pPr>
        <w:spacing w:line="360" w:lineRule="auto"/>
        <w:jc w:val="both"/>
        <w:rPr>
          <w:rFonts w:cs="Times New Roman"/>
        </w:rPr>
      </w:pPr>
    </w:p>
    <w:p w:rsidR="009672A2" w:rsidRPr="00AC344A" w:rsidRDefault="009672A2" w:rsidP="00355886">
      <w:pPr>
        <w:tabs>
          <w:tab w:val="left" w:pos="6804"/>
        </w:tabs>
        <w:spacing w:line="360" w:lineRule="auto"/>
        <w:jc w:val="both"/>
        <w:rPr>
          <w:rFonts w:cs="Times New Roman"/>
        </w:rPr>
      </w:pPr>
      <w:r w:rsidRPr="00AC344A">
        <w:rPr>
          <w:rFonts w:cs="Times New Roman"/>
        </w:rPr>
        <w:t>Komisijas priekšsēdētāja</w:t>
      </w:r>
      <w:r w:rsidRPr="00AC344A">
        <w:rPr>
          <w:rFonts w:cs="Times New Roman"/>
        </w:rPr>
        <w:tab/>
        <w:t>Anita Kovaļevska</w:t>
      </w:r>
    </w:p>
    <w:p w:rsidR="009672A2" w:rsidRPr="00AC344A" w:rsidRDefault="00355886" w:rsidP="00355886">
      <w:pPr>
        <w:tabs>
          <w:tab w:val="left" w:pos="6804"/>
        </w:tabs>
        <w:spacing w:line="360" w:lineRule="auto"/>
        <w:jc w:val="both"/>
        <w:rPr>
          <w:rFonts w:cs="Times New Roman"/>
        </w:rPr>
      </w:pPr>
      <w:r>
        <w:rPr>
          <w:rFonts w:cs="Times New Roman"/>
        </w:rPr>
        <w:t>Komisijas locekļi</w:t>
      </w:r>
      <w:r w:rsidR="009672A2" w:rsidRPr="00AC344A">
        <w:rPr>
          <w:rFonts w:cs="Times New Roman"/>
        </w:rPr>
        <w:tab/>
        <w:t>Dzintra Amerika</w:t>
      </w:r>
    </w:p>
    <w:p w:rsidR="009672A2" w:rsidRPr="00AC344A" w:rsidRDefault="009672A2" w:rsidP="00355886">
      <w:pPr>
        <w:tabs>
          <w:tab w:val="left" w:pos="6804"/>
        </w:tabs>
        <w:spacing w:line="360" w:lineRule="auto"/>
        <w:jc w:val="both"/>
        <w:rPr>
          <w:rFonts w:cs="Times New Roman"/>
        </w:rPr>
      </w:pPr>
      <w:r w:rsidRPr="00AC344A">
        <w:rPr>
          <w:rFonts w:cs="Times New Roman"/>
        </w:rPr>
        <w:tab/>
        <w:t>Madara Ābele</w:t>
      </w:r>
    </w:p>
    <w:p w:rsidR="009672A2" w:rsidRPr="00AC344A" w:rsidRDefault="009672A2" w:rsidP="00355886">
      <w:pPr>
        <w:tabs>
          <w:tab w:val="left" w:pos="6804"/>
        </w:tabs>
        <w:spacing w:line="360" w:lineRule="auto"/>
        <w:jc w:val="both"/>
        <w:rPr>
          <w:rFonts w:cs="Times New Roman"/>
        </w:rPr>
      </w:pPr>
      <w:r w:rsidRPr="00AC344A">
        <w:rPr>
          <w:rFonts w:cs="Times New Roman"/>
        </w:rPr>
        <w:tab/>
        <w:t>Ināra Jaunzeme</w:t>
      </w:r>
    </w:p>
    <w:p w:rsidR="009672A2" w:rsidRPr="00AC344A" w:rsidRDefault="009672A2" w:rsidP="00355886">
      <w:pPr>
        <w:tabs>
          <w:tab w:val="left" w:pos="6804"/>
        </w:tabs>
        <w:spacing w:line="360" w:lineRule="auto"/>
        <w:jc w:val="both"/>
        <w:rPr>
          <w:rFonts w:cs="Times New Roman"/>
        </w:rPr>
      </w:pPr>
      <w:r w:rsidRPr="00AC344A">
        <w:rPr>
          <w:rFonts w:cs="Times New Roman"/>
        </w:rPr>
        <w:tab/>
        <w:t>Guntars Ploriņš</w:t>
      </w:r>
    </w:p>
    <w:p w:rsidR="009672A2" w:rsidRPr="00AC344A" w:rsidRDefault="009672A2" w:rsidP="00355886">
      <w:pPr>
        <w:tabs>
          <w:tab w:val="left" w:pos="6804"/>
        </w:tabs>
        <w:spacing w:line="360" w:lineRule="auto"/>
        <w:jc w:val="both"/>
        <w:rPr>
          <w:rFonts w:cs="Times New Roman"/>
        </w:rPr>
      </w:pPr>
      <w:r w:rsidRPr="00AC344A">
        <w:rPr>
          <w:rFonts w:cs="Times New Roman"/>
        </w:rPr>
        <w:tab/>
      </w:r>
      <w:r w:rsidR="00355886">
        <w:rPr>
          <w:rFonts w:cs="Times New Roman"/>
        </w:rPr>
        <w:t>Ag</w:t>
      </w:r>
      <w:r w:rsidRPr="00AC344A">
        <w:rPr>
          <w:rFonts w:cs="Times New Roman"/>
        </w:rPr>
        <w:t>nese Skulme</w:t>
      </w:r>
    </w:p>
    <w:p w:rsidR="009672A2" w:rsidRPr="00AC344A" w:rsidRDefault="009672A2" w:rsidP="00AC344A">
      <w:pPr>
        <w:spacing w:line="360" w:lineRule="auto"/>
        <w:jc w:val="both"/>
        <w:rPr>
          <w:rFonts w:cs="Times New Roman"/>
        </w:rPr>
      </w:pPr>
      <w:r w:rsidRPr="00AC344A">
        <w:rPr>
          <w:rFonts w:cs="Times New Roman"/>
        </w:rPr>
        <w:tab/>
      </w:r>
      <w:r w:rsidRPr="00AC344A">
        <w:rPr>
          <w:rFonts w:cs="Times New Roman"/>
        </w:rPr>
        <w:tab/>
      </w:r>
      <w:r w:rsidRPr="00AC344A">
        <w:rPr>
          <w:rFonts w:cs="Times New Roman"/>
        </w:rPr>
        <w:tab/>
      </w:r>
      <w:r w:rsidRPr="00AC344A">
        <w:rPr>
          <w:rFonts w:cs="Times New Roman"/>
        </w:rPr>
        <w:tab/>
      </w:r>
      <w:r w:rsidRPr="00AC344A">
        <w:rPr>
          <w:rFonts w:cs="Times New Roman"/>
        </w:rPr>
        <w:tab/>
      </w:r>
      <w:r w:rsidRPr="00AC344A">
        <w:rPr>
          <w:rFonts w:cs="Times New Roman"/>
        </w:rPr>
        <w:tab/>
      </w:r>
      <w:r w:rsidRPr="00AC344A">
        <w:rPr>
          <w:rFonts w:cs="Times New Roman"/>
        </w:rPr>
        <w:tab/>
      </w:r>
      <w:r w:rsidRPr="00AC344A">
        <w:rPr>
          <w:rFonts w:cs="Times New Roman"/>
        </w:rPr>
        <w:tab/>
      </w:r>
    </w:p>
    <w:sectPr w:rsidR="009672A2" w:rsidRPr="00AC344A" w:rsidSect="003357CA">
      <w:footerReference w:type="default" r:id="rId7"/>
      <w:pgSz w:w="11906" w:h="16838"/>
      <w:pgMar w:top="1134" w:right="1134" w:bottom="1134" w:left="1701" w:header="158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1D6E" w:rsidRDefault="001A1D6E" w:rsidP="00355886">
      <w:r>
        <w:separator/>
      </w:r>
    </w:p>
  </w:endnote>
  <w:endnote w:type="continuationSeparator" w:id="0">
    <w:p w:rsidR="001A1D6E" w:rsidRDefault="001A1D6E" w:rsidP="0035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7101660"/>
      <w:docPartObj>
        <w:docPartGallery w:val="Page Numbers (Bottom of Page)"/>
        <w:docPartUnique/>
      </w:docPartObj>
    </w:sdtPr>
    <w:sdtEndPr/>
    <w:sdtContent>
      <w:p w:rsidR="00355886" w:rsidRDefault="00355886">
        <w:pPr>
          <w:pStyle w:val="Kjene"/>
          <w:jc w:val="center"/>
        </w:pPr>
        <w:r>
          <w:fldChar w:fldCharType="begin"/>
        </w:r>
        <w:r>
          <w:instrText>PAGE   \* MERGEFORMAT</w:instrText>
        </w:r>
        <w:r>
          <w:fldChar w:fldCharType="separate"/>
        </w:r>
        <w:r>
          <w:t>2</w:t>
        </w:r>
        <w:r>
          <w:fldChar w:fldCharType="end"/>
        </w:r>
      </w:p>
    </w:sdtContent>
  </w:sdt>
  <w:p w:rsidR="00355886" w:rsidRDefault="0035588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1D6E" w:rsidRDefault="001A1D6E" w:rsidP="00355886">
      <w:r>
        <w:separator/>
      </w:r>
    </w:p>
  </w:footnote>
  <w:footnote w:type="continuationSeparator" w:id="0">
    <w:p w:rsidR="001A1D6E" w:rsidRDefault="001A1D6E" w:rsidP="003558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09E"/>
    <w:rsid w:val="00011FFE"/>
    <w:rsid w:val="00045C97"/>
    <w:rsid w:val="00050EE6"/>
    <w:rsid w:val="00052B22"/>
    <w:rsid w:val="00057297"/>
    <w:rsid w:val="00092DAE"/>
    <w:rsid w:val="000A7DBC"/>
    <w:rsid w:val="001005B0"/>
    <w:rsid w:val="00131403"/>
    <w:rsid w:val="00144F4A"/>
    <w:rsid w:val="00145079"/>
    <w:rsid w:val="001554A1"/>
    <w:rsid w:val="001672AC"/>
    <w:rsid w:val="00176C90"/>
    <w:rsid w:val="001A1D6E"/>
    <w:rsid w:val="001E5752"/>
    <w:rsid w:val="002207A8"/>
    <w:rsid w:val="00241933"/>
    <w:rsid w:val="00265085"/>
    <w:rsid w:val="003357CA"/>
    <w:rsid w:val="00355886"/>
    <w:rsid w:val="00372B69"/>
    <w:rsid w:val="00391955"/>
    <w:rsid w:val="003A2EEF"/>
    <w:rsid w:val="003B485A"/>
    <w:rsid w:val="00416F0C"/>
    <w:rsid w:val="004328B2"/>
    <w:rsid w:val="00454683"/>
    <w:rsid w:val="00494872"/>
    <w:rsid w:val="004E6E6D"/>
    <w:rsid w:val="00506A67"/>
    <w:rsid w:val="005147F5"/>
    <w:rsid w:val="00514D0A"/>
    <w:rsid w:val="005312FB"/>
    <w:rsid w:val="00536D0B"/>
    <w:rsid w:val="005452D6"/>
    <w:rsid w:val="005663EC"/>
    <w:rsid w:val="0057020B"/>
    <w:rsid w:val="006406CF"/>
    <w:rsid w:val="006477B8"/>
    <w:rsid w:val="00660383"/>
    <w:rsid w:val="006A1EBB"/>
    <w:rsid w:val="006B31C1"/>
    <w:rsid w:val="007250FA"/>
    <w:rsid w:val="0074123A"/>
    <w:rsid w:val="007528F7"/>
    <w:rsid w:val="00754624"/>
    <w:rsid w:val="00764D4D"/>
    <w:rsid w:val="00776841"/>
    <w:rsid w:val="007D2206"/>
    <w:rsid w:val="007E542D"/>
    <w:rsid w:val="00836599"/>
    <w:rsid w:val="008400BC"/>
    <w:rsid w:val="008429CA"/>
    <w:rsid w:val="008773FA"/>
    <w:rsid w:val="00877414"/>
    <w:rsid w:val="008C1F12"/>
    <w:rsid w:val="00934D45"/>
    <w:rsid w:val="00943CD2"/>
    <w:rsid w:val="00956111"/>
    <w:rsid w:val="009672A2"/>
    <w:rsid w:val="00985F5E"/>
    <w:rsid w:val="009C0CAF"/>
    <w:rsid w:val="009D0FC2"/>
    <w:rsid w:val="009D608A"/>
    <w:rsid w:val="009F0E19"/>
    <w:rsid w:val="00A022C0"/>
    <w:rsid w:val="00A525EA"/>
    <w:rsid w:val="00A80252"/>
    <w:rsid w:val="00A84335"/>
    <w:rsid w:val="00A858B1"/>
    <w:rsid w:val="00AA4496"/>
    <w:rsid w:val="00AB4F24"/>
    <w:rsid w:val="00AC344A"/>
    <w:rsid w:val="00B218C6"/>
    <w:rsid w:val="00B421FA"/>
    <w:rsid w:val="00B533B5"/>
    <w:rsid w:val="00B54410"/>
    <w:rsid w:val="00BB0F2B"/>
    <w:rsid w:val="00BB4FC8"/>
    <w:rsid w:val="00BD19B6"/>
    <w:rsid w:val="00C304D5"/>
    <w:rsid w:val="00C321EB"/>
    <w:rsid w:val="00C472D2"/>
    <w:rsid w:val="00C52DDE"/>
    <w:rsid w:val="00C611E7"/>
    <w:rsid w:val="00C6609E"/>
    <w:rsid w:val="00C76308"/>
    <w:rsid w:val="00D1186C"/>
    <w:rsid w:val="00D64265"/>
    <w:rsid w:val="00D76FDA"/>
    <w:rsid w:val="00D77829"/>
    <w:rsid w:val="00D96C3C"/>
    <w:rsid w:val="00DF575D"/>
    <w:rsid w:val="00E4028C"/>
    <w:rsid w:val="00E808CF"/>
    <w:rsid w:val="00EC58FD"/>
    <w:rsid w:val="00ED374B"/>
    <w:rsid w:val="00F63A32"/>
    <w:rsid w:val="00F709C3"/>
    <w:rsid w:val="00FC7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B2580-0650-425C-82BA-28E50679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6609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semiHidden/>
    <w:unhideWhenUsed/>
    <w:rsid w:val="00C6609E"/>
    <w:pPr>
      <w:spacing w:after="120"/>
    </w:pPr>
    <w:rPr>
      <w:szCs w:val="21"/>
    </w:rPr>
  </w:style>
  <w:style w:type="character" w:customStyle="1" w:styleId="PamattekstsRakstz">
    <w:name w:val="Pamatteksts Rakstz."/>
    <w:basedOn w:val="Noklusjumarindkopasfonts"/>
    <w:link w:val="Pamatteksts"/>
    <w:uiPriority w:val="99"/>
    <w:semiHidden/>
    <w:rsid w:val="00C6609E"/>
    <w:rPr>
      <w:rFonts w:ascii="Times New Roman" w:eastAsia="SimSun" w:hAnsi="Times New Roman" w:cs="Mangal"/>
      <w:kern w:val="1"/>
      <w:sz w:val="24"/>
      <w:szCs w:val="21"/>
      <w:lang w:eastAsia="hi-IN" w:bidi="hi-IN"/>
    </w:rPr>
  </w:style>
  <w:style w:type="paragraph" w:styleId="Pamattekstapirmatkpe">
    <w:name w:val="Body Text First Indent"/>
    <w:basedOn w:val="Pamatteksts"/>
    <w:link w:val="PamattekstapirmatkpeRakstz"/>
    <w:semiHidden/>
    <w:unhideWhenUsed/>
    <w:rsid w:val="00C6609E"/>
    <w:pPr>
      <w:widowControl/>
      <w:suppressAutoHyphens w:val="0"/>
      <w:spacing w:line="276" w:lineRule="auto"/>
      <w:ind w:firstLine="210"/>
    </w:pPr>
    <w:rPr>
      <w:rFonts w:ascii="Calibri" w:eastAsia="Calibri" w:hAnsi="Calibri" w:cs="Times New Roman"/>
      <w:kern w:val="0"/>
      <w:sz w:val="22"/>
      <w:szCs w:val="22"/>
      <w:lang w:val="x-none" w:eastAsia="en-US" w:bidi="ar-SA"/>
    </w:rPr>
  </w:style>
  <w:style w:type="character" w:customStyle="1" w:styleId="PamattekstapirmatkpeRakstz">
    <w:name w:val="Pamatteksta pirmā atkāpe Rakstz."/>
    <w:basedOn w:val="PamattekstsRakstz"/>
    <w:link w:val="Pamattekstapirmatkpe"/>
    <w:semiHidden/>
    <w:rsid w:val="00C6609E"/>
    <w:rPr>
      <w:rFonts w:ascii="Calibri" w:eastAsia="Calibri" w:hAnsi="Calibri" w:cs="Times New Roman"/>
      <w:kern w:val="1"/>
      <w:sz w:val="24"/>
      <w:szCs w:val="21"/>
      <w:lang w:val="x-none" w:eastAsia="hi-IN" w:bidi="hi-IN"/>
    </w:rPr>
  </w:style>
  <w:style w:type="paragraph" w:styleId="Sarakstaaizzme2">
    <w:name w:val="List Bullet 2"/>
    <w:basedOn w:val="Parasts"/>
    <w:autoRedefine/>
    <w:rsid w:val="00C6609E"/>
    <w:pPr>
      <w:widowControl/>
      <w:suppressAutoHyphens w:val="0"/>
      <w:spacing w:line="360" w:lineRule="auto"/>
      <w:ind w:firstLine="709"/>
    </w:pPr>
    <w:rPr>
      <w:rFonts w:eastAsia="Times New Roman" w:cs="Times New Roman"/>
      <w:kern w:val="0"/>
      <w:lang w:eastAsia="lv-LV" w:bidi="ar-SA"/>
    </w:rPr>
  </w:style>
  <w:style w:type="paragraph" w:customStyle="1" w:styleId="ParastaisWeb">
    <w:name w:val="Parastais (Web)"/>
    <w:basedOn w:val="Parasts"/>
    <w:rsid w:val="00C6609E"/>
    <w:pPr>
      <w:widowControl/>
      <w:suppressAutoHyphens w:val="0"/>
      <w:spacing w:before="100" w:beforeAutospacing="1" w:after="100" w:afterAutospacing="1"/>
    </w:pPr>
    <w:rPr>
      <w:rFonts w:eastAsia="Times New Roman" w:cs="Times New Roman"/>
      <w:kern w:val="0"/>
      <w:lang w:eastAsia="lv-LV" w:bidi="ar-SA"/>
    </w:rPr>
  </w:style>
  <w:style w:type="paragraph" w:styleId="Balonteksts">
    <w:name w:val="Balloon Text"/>
    <w:basedOn w:val="Parasts"/>
    <w:link w:val="BalontekstsRakstz"/>
    <w:uiPriority w:val="99"/>
    <w:semiHidden/>
    <w:unhideWhenUsed/>
    <w:rsid w:val="008429CA"/>
    <w:rPr>
      <w:rFonts w:ascii="Segoe UI" w:hAnsi="Segoe UI"/>
      <w:sz w:val="18"/>
      <w:szCs w:val="16"/>
    </w:rPr>
  </w:style>
  <w:style w:type="character" w:customStyle="1" w:styleId="BalontekstsRakstz">
    <w:name w:val="Balonteksts Rakstz."/>
    <w:basedOn w:val="Noklusjumarindkopasfonts"/>
    <w:link w:val="Balonteksts"/>
    <w:uiPriority w:val="99"/>
    <w:semiHidden/>
    <w:rsid w:val="008429CA"/>
    <w:rPr>
      <w:rFonts w:ascii="Segoe UI" w:eastAsia="SimSun" w:hAnsi="Segoe UI" w:cs="Mangal"/>
      <w:kern w:val="1"/>
      <w:sz w:val="18"/>
      <w:szCs w:val="16"/>
      <w:lang w:eastAsia="hi-IN" w:bidi="hi-IN"/>
    </w:rPr>
  </w:style>
  <w:style w:type="paragraph" w:styleId="Paraststmeklis">
    <w:name w:val="Normal (Web)"/>
    <w:basedOn w:val="Parasts"/>
    <w:uiPriority w:val="99"/>
    <w:semiHidden/>
    <w:unhideWhenUsed/>
    <w:rsid w:val="005452D6"/>
    <w:pPr>
      <w:widowControl/>
      <w:suppressAutoHyphens w:val="0"/>
    </w:pPr>
    <w:rPr>
      <w:rFonts w:eastAsiaTheme="minorHAnsi" w:cs="Times New Roman"/>
      <w:kern w:val="0"/>
      <w:lang w:eastAsia="lv-LV" w:bidi="ar-SA"/>
    </w:rPr>
  </w:style>
  <w:style w:type="paragraph" w:styleId="Galvene">
    <w:name w:val="header"/>
    <w:basedOn w:val="Parasts"/>
    <w:link w:val="GalveneRakstz"/>
    <w:uiPriority w:val="99"/>
    <w:unhideWhenUsed/>
    <w:rsid w:val="00355886"/>
    <w:pPr>
      <w:tabs>
        <w:tab w:val="center" w:pos="4153"/>
        <w:tab w:val="right" w:pos="8306"/>
      </w:tabs>
    </w:pPr>
    <w:rPr>
      <w:szCs w:val="21"/>
    </w:rPr>
  </w:style>
  <w:style w:type="character" w:customStyle="1" w:styleId="GalveneRakstz">
    <w:name w:val="Galvene Rakstz."/>
    <w:basedOn w:val="Noklusjumarindkopasfonts"/>
    <w:link w:val="Galvene"/>
    <w:uiPriority w:val="99"/>
    <w:rsid w:val="00355886"/>
    <w:rPr>
      <w:rFonts w:ascii="Times New Roman" w:eastAsia="SimSun" w:hAnsi="Times New Roman" w:cs="Mangal"/>
      <w:kern w:val="1"/>
      <w:sz w:val="24"/>
      <w:szCs w:val="21"/>
      <w:lang w:eastAsia="hi-IN" w:bidi="hi-IN"/>
    </w:rPr>
  </w:style>
  <w:style w:type="paragraph" w:styleId="Kjene">
    <w:name w:val="footer"/>
    <w:basedOn w:val="Parasts"/>
    <w:link w:val="KjeneRakstz"/>
    <w:uiPriority w:val="99"/>
    <w:unhideWhenUsed/>
    <w:rsid w:val="00355886"/>
    <w:pPr>
      <w:tabs>
        <w:tab w:val="center" w:pos="4153"/>
        <w:tab w:val="right" w:pos="8306"/>
      </w:tabs>
    </w:pPr>
    <w:rPr>
      <w:szCs w:val="21"/>
    </w:rPr>
  </w:style>
  <w:style w:type="character" w:customStyle="1" w:styleId="KjeneRakstz">
    <w:name w:val="Kājene Rakstz."/>
    <w:basedOn w:val="Noklusjumarindkopasfonts"/>
    <w:link w:val="Kjene"/>
    <w:uiPriority w:val="99"/>
    <w:rsid w:val="00355886"/>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99081-7F68-4075-A2FA-A8714FD9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9002</Words>
  <Characters>5132</Characters>
  <Application>Microsoft Office Word</Application>
  <DocSecurity>0</DocSecurity>
  <Lines>42</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Jaunzeme</dc:creator>
  <cp:keywords/>
  <dc:description/>
  <cp:lastModifiedBy>Indra Kārkliņa</cp:lastModifiedBy>
  <cp:revision>4</cp:revision>
  <cp:lastPrinted>2018-07-20T08:41:00Z</cp:lastPrinted>
  <dcterms:created xsi:type="dcterms:W3CDTF">2018-07-20T12:21:00Z</dcterms:created>
  <dcterms:modified xsi:type="dcterms:W3CDTF">2018-08-21T12:20:00Z</dcterms:modified>
</cp:coreProperties>
</file>