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5C4F" w14:textId="77777777" w:rsidR="00F62747" w:rsidRPr="00F62747" w:rsidRDefault="00F62747" w:rsidP="00F62747">
      <w:pPr>
        <w:spacing w:after="0" w:line="360" w:lineRule="auto"/>
        <w:jc w:val="center"/>
        <w:rPr>
          <w:rFonts w:ascii="Times New Roman" w:hAnsi="Times New Roman"/>
          <w:b/>
          <w:sz w:val="24"/>
          <w:szCs w:val="24"/>
        </w:rPr>
      </w:pPr>
      <w:r w:rsidRPr="00F62747">
        <w:rPr>
          <w:rFonts w:ascii="Times New Roman" w:hAnsi="Times New Roman"/>
          <w:b/>
          <w:sz w:val="24"/>
          <w:szCs w:val="24"/>
        </w:rPr>
        <w:t>Tiesnešu ētikas komisija</w:t>
      </w:r>
    </w:p>
    <w:p w14:paraId="001B11D4" w14:textId="77777777" w:rsidR="00F62747" w:rsidRPr="00F62747" w:rsidRDefault="00F62747" w:rsidP="00F62747">
      <w:pPr>
        <w:spacing w:after="0" w:line="360" w:lineRule="auto"/>
        <w:jc w:val="center"/>
        <w:rPr>
          <w:rFonts w:ascii="Times New Roman" w:hAnsi="Times New Roman"/>
          <w:b/>
          <w:spacing w:val="20"/>
          <w:sz w:val="32"/>
          <w:szCs w:val="32"/>
        </w:rPr>
      </w:pPr>
      <w:r w:rsidRPr="00F62747">
        <w:rPr>
          <w:rFonts w:ascii="Times New Roman" w:hAnsi="Times New Roman"/>
          <w:b/>
          <w:spacing w:val="20"/>
          <w:sz w:val="32"/>
          <w:szCs w:val="32"/>
        </w:rPr>
        <w:t>SKAIDROJUMS</w:t>
      </w:r>
    </w:p>
    <w:p w14:paraId="3A0E281E" w14:textId="332003BF" w:rsidR="006918EF" w:rsidRDefault="006918EF" w:rsidP="00851D84">
      <w:pPr>
        <w:tabs>
          <w:tab w:val="right" w:pos="9071"/>
        </w:tabs>
        <w:spacing w:after="0" w:line="360" w:lineRule="auto"/>
        <w:rPr>
          <w:rFonts w:ascii="Times New Roman" w:hAnsi="Times New Roman"/>
          <w:sz w:val="24"/>
          <w:szCs w:val="24"/>
        </w:rPr>
      </w:pPr>
      <w:r>
        <w:rPr>
          <w:rFonts w:ascii="Times New Roman" w:hAnsi="Times New Roman"/>
          <w:sz w:val="24"/>
          <w:szCs w:val="24"/>
        </w:rPr>
        <w:t>Rīgā</w:t>
      </w:r>
      <w:r>
        <w:rPr>
          <w:rFonts w:ascii="Times New Roman" w:hAnsi="Times New Roman"/>
        </w:rPr>
        <w:tab/>
      </w:r>
      <w:r>
        <w:rPr>
          <w:rFonts w:ascii="Times New Roman" w:hAnsi="Times New Roman"/>
          <w:sz w:val="24"/>
          <w:szCs w:val="24"/>
        </w:rPr>
        <w:t xml:space="preserve">2018.gada </w:t>
      </w:r>
      <w:r w:rsidR="00F14C79">
        <w:rPr>
          <w:rFonts w:ascii="Times New Roman" w:hAnsi="Times New Roman"/>
          <w:sz w:val="24"/>
          <w:szCs w:val="24"/>
        </w:rPr>
        <w:t>27.</w:t>
      </w:r>
      <w:r w:rsidR="005E7F80">
        <w:rPr>
          <w:rFonts w:ascii="Times New Roman" w:hAnsi="Times New Roman"/>
          <w:sz w:val="24"/>
          <w:szCs w:val="24"/>
        </w:rPr>
        <w:t xml:space="preserve">aprīlī </w:t>
      </w:r>
    </w:p>
    <w:p w14:paraId="4C25CF0E" w14:textId="77777777" w:rsidR="006918EF" w:rsidRDefault="006918EF" w:rsidP="00F62747">
      <w:pPr>
        <w:spacing w:after="0" w:line="360" w:lineRule="auto"/>
        <w:rPr>
          <w:rFonts w:ascii="Times New Roman" w:hAnsi="Times New Roman"/>
          <w:sz w:val="24"/>
          <w:szCs w:val="24"/>
        </w:rPr>
      </w:pPr>
    </w:p>
    <w:p w14:paraId="4F6B0613" w14:textId="77777777" w:rsidR="00851D84" w:rsidRDefault="006918EF" w:rsidP="00DF7460">
      <w:pPr>
        <w:spacing w:after="0" w:line="360" w:lineRule="auto"/>
        <w:jc w:val="both"/>
        <w:rPr>
          <w:rFonts w:ascii="Times New Roman" w:hAnsi="Times New Roman"/>
          <w:color w:val="000000"/>
          <w:w w:val="104"/>
          <w:sz w:val="24"/>
          <w:szCs w:val="24"/>
        </w:rPr>
      </w:pPr>
      <w:r>
        <w:rPr>
          <w:rFonts w:ascii="Times New Roman" w:hAnsi="Times New Roman"/>
          <w:sz w:val="24"/>
          <w:szCs w:val="24"/>
        </w:rPr>
        <w:tab/>
        <w:t xml:space="preserve">Tiesnešu ētikas komisija saņēmusi </w:t>
      </w:r>
      <w:r w:rsidR="00E806EC">
        <w:rPr>
          <w:rFonts w:ascii="Times New Roman" w:hAnsi="Times New Roman"/>
          <w:sz w:val="24"/>
          <w:szCs w:val="24"/>
        </w:rPr>
        <w:t>tiesne</w:t>
      </w:r>
      <w:r w:rsidR="00F14C79">
        <w:rPr>
          <w:rFonts w:ascii="Times New Roman" w:hAnsi="Times New Roman"/>
          <w:sz w:val="24"/>
          <w:szCs w:val="24"/>
        </w:rPr>
        <w:t>ša</w:t>
      </w:r>
      <w:r w:rsidR="00E806EC">
        <w:rPr>
          <w:rFonts w:ascii="Times New Roman" w:hAnsi="Times New Roman"/>
          <w:sz w:val="24"/>
          <w:szCs w:val="24"/>
        </w:rPr>
        <w:t xml:space="preserve"> </w:t>
      </w:r>
      <w:r>
        <w:rPr>
          <w:rFonts w:ascii="Times New Roman" w:hAnsi="Times New Roman"/>
          <w:sz w:val="24"/>
          <w:szCs w:val="24"/>
        </w:rPr>
        <w:t xml:space="preserve">iesniegumu, kurā lūgts </w:t>
      </w:r>
      <w:r>
        <w:rPr>
          <w:rFonts w:ascii="Times New Roman" w:hAnsi="Times New Roman"/>
          <w:color w:val="000000"/>
          <w:w w:val="104"/>
          <w:sz w:val="24"/>
          <w:szCs w:val="24"/>
        </w:rPr>
        <w:t>sniegt skaidrojumu,</w:t>
      </w:r>
    </w:p>
    <w:p w14:paraId="6B82DB00" w14:textId="6E3C74F3" w:rsidR="00B47452" w:rsidRDefault="006918EF" w:rsidP="00DF7460">
      <w:pPr>
        <w:spacing w:after="0" w:line="360" w:lineRule="auto"/>
        <w:jc w:val="both"/>
        <w:rPr>
          <w:rFonts w:ascii="Times New Roman" w:hAnsi="Times New Roman"/>
          <w:color w:val="000000"/>
          <w:w w:val="104"/>
          <w:sz w:val="24"/>
          <w:szCs w:val="24"/>
        </w:rPr>
      </w:pPr>
      <w:r>
        <w:rPr>
          <w:rFonts w:ascii="Times New Roman" w:hAnsi="Times New Roman"/>
          <w:color w:val="000000"/>
          <w:w w:val="104"/>
          <w:sz w:val="24"/>
          <w:szCs w:val="24"/>
        </w:rPr>
        <w:t>vai</w:t>
      </w:r>
      <w:r w:rsidR="00A95114">
        <w:rPr>
          <w:rFonts w:ascii="Times New Roman" w:hAnsi="Times New Roman"/>
          <w:color w:val="000000"/>
          <w:w w:val="104"/>
          <w:sz w:val="24"/>
          <w:szCs w:val="24"/>
        </w:rPr>
        <w:t xml:space="preserve">, ņemot vērā </w:t>
      </w:r>
      <w:r w:rsidR="00A95114" w:rsidRPr="00A95114">
        <w:rPr>
          <w:rFonts w:ascii="Times New Roman" w:hAnsi="Times New Roman"/>
          <w:color w:val="000000"/>
          <w:w w:val="104"/>
          <w:sz w:val="24"/>
          <w:szCs w:val="24"/>
        </w:rPr>
        <w:t>Latvijas tiesnešu ētikas kodeksa 2.kanona 1.punkt</w:t>
      </w:r>
      <w:r w:rsidR="00A95114">
        <w:rPr>
          <w:rFonts w:ascii="Times New Roman" w:hAnsi="Times New Roman"/>
          <w:color w:val="000000"/>
          <w:w w:val="104"/>
          <w:sz w:val="24"/>
          <w:szCs w:val="24"/>
        </w:rPr>
        <w:t>ā noteikto,</w:t>
      </w:r>
      <w:r w:rsidR="00851D84">
        <w:rPr>
          <w:rFonts w:ascii="Times New Roman" w:hAnsi="Times New Roman"/>
          <w:color w:val="000000"/>
          <w:w w:val="104"/>
          <w:sz w:val="24"/>
          <w:szCs w:val="24"/>
        </w:rPr>
        <w:t xml:space="preserve"> </w:t>
      </w:r>
      <w:r w:rsidR="001D7BFE">
        <w:rPr>
          <w:rFonts w:ascii="Times New Roman" w:hAnsi="Times New Roman"/>
          <w:color w:val="000000"/>
          <w:w w:val="104"/>
          <w:sz w:val="24"/>
          <w:szCs w:val="24"/>
        </w:rPr>
        <w:t>tiesnesim pastāv iespēja atteikties no administratīvās imunitātes, ja tiesnesis pieļāvis administratīvo pārk</w:t>
      </w:r>
      <w:r w:rsidR="009512CE">
        <w:rPr>
          <w:rFonts w:ascii="Times New Roman" w:hAnsi="Times New Roman"/>
          <w:color w:val="000000"/>
          <w:w w:val="104"/>
          <w:sz w:val="24"/>
          <w:szCs w:val="24"/>
        </w:rPr>
        <w:t>āpumu</w:t>
      </w:r>
      <w:r w:rsidR="002F0D98" w:rsidRPr="00851D84">
        <w:rPr>
          <w:rFonts w:ascii="Times New Roman" w:hAnsi="Times New Roman"/>
          <w:color w:val="000000"/>
          <w:w w:val="104"/>
          <w:sz w:val="24"/>
          <w:szCs w:val="24"/>
        </w:rPr>
        <w:t xml:space="preserve">. </w:t>
      </w:r>
      <w:r w:rsidR="00F14C79" w:rsidRPr="00851D84">
        <w:rPr>
          <w:rFonts w:ascii="Times New Roman" w:hAnsi="Times New Roman"/>
          <w:sz w:val="24"/>
          <w:szCs w:val="24"/>
        </w:rPr>
        <w:t>Proti, vai gadījumā, kad tiesnesis piekrīt,</w:t>
      </w:r>
      <w:r w:rsidR="00F14C79" w:rsidRPr="00851D84">
        <w:rPr>
          <w:rFonts w:ascii="Times New Roman" w:hAnsi="Times New Roman"/>
          <w:color w:val="000000"/>
          <w:w w:val="104"/>
          <w:sz w:val="24"/>
          <w:szCs w:val="24"/>
        </w:rPr>
        <w:t xml:space="preserve"> ka šo pārkāpumu</w:t>
      </w:r>
      <w:r w:rsidR="00F14C79" w:rsidRPr="00285569">
        <w:rPr>
          <w:rFonts w:ascii="Times New Roman" w:hAnsi="Times New Roman"/>
          <w:color w:val="000000"/>
          <w:w w:val="104"/>
          <w:sz w:val="24"/>
          <w:szCs w:val="24"/>
        </w:rPr>
        <w:t xml:space="preserve"> ir izdarījis un ir gatavs saņemt sodu, un vienlaikus uzskata, ka administratīvā soda saņemšana par izdarīto administratīvo pārkāpumu nekādā mērā neietekmēs tiesneša neaizskaramību, tiesnesis drīkst saņemt administratīvo sodu, nenorādot savu amatu, tādējādi atsakoties no administratīvās imunitātes.</w:t>
      </w:r>
    </w:p>
    <w:p w14:paraId="1A8648EB" w14:textId="77777777" w:rsidR="006918EF" w:rsidRDefault="006918EF" w:rsidP="00F62747">
      <w:pPr>
        <w:spacing w:after="0" w:line="360" w:lineRule="auto"/>
        <w:jc w:val="both"/>
        <w:rPr>
          <w:rFonts w:ascii="Times New Roman" w:hAnsi="Times New Roman"/>
          <w:sz w:val="24"/>
          <w:szCs w:val="24"/>
        </w:rPr>
      </w:pPr>
    </w:p>
    <w:p w14:paraId="0212560B" w14:textId="74EB44D9" w:rsidR="00230394" w:rsidRDefault="006918EF" w:rsidP="00F62747">
      <w:pPr>
        <w:spacing w:after="0" w:line="360" w:lineRule="auto"/>
        <w:ind w:firstLine="720"/>
        <w:jc w:val="both"/>
        <w:rPr>
          <w:rFonts w:ascii="Times New Roman" w:hAnsi="Times New Roman"/>
          <w:sz w:val="24"/>
          <w:szCs w:val="24"/>
        </w:rPr>
      </w:pPr>
      <w:r>
        <w:rPr>
          <w:rFonts w:ascii="Times New Roman" w:hAnsi="Times New Roman"/>
          <w:sz w:val="24"/>
          <w:szCs w:val="24"/>
        </w:rPr>
        <w:t>[</w:t>
      </w:r>
      <w:r w:rsidR="00DF7460">
        <w:rPr>
          <w:rFonts w:ascii="Times New Roman" w:hAnsi="Times New Roman"/>
          <w:sz w:val="24"/>
          <w:szCs w:val="24"/>
        </w:rPr>
        <w:t>1</w:t>
      </w:r>
      <w:r>
        <w:rPr>
          <w:rFonts w:ascii="Times New Roman" w:hAnsi="Times New Roman"/>
          <w:sz w:val="24"/>
          <w:szCs w:val="24"/>
        </w:rPr>
        <w:t>]</w:t>
      </w:r>
      <w:r w:rsidR="00834768">
        <w:rPr>
          <w:rFonts w:ascii="Times New Roman" w:hAnsi="Times New Roman"/>
          <w:sz w:val="24"/>
          <w:szCs w:val="24"/>
        </w:rPr>
        <w:t> </w:t>
      </w:r>
      <w:r w:rsidR="00796CF7">
        <w:rPr>
          <w:rFonts w:ascii="Times New Roman" w:hAnsi="Times New Roman"/>
          <w:sz w:val="24"/>
          <w:szCs w:val="24"/>
        </w:rPr>
        <w:t>Likuma “Par tiesu varu” 13.panta ceturtā daļa noteic, ka tiesnesim nevar piemērot administratīvos sodus, viņu nedrīkst aizturēt administratīvā kārtā. Par administratīviem pārkāpumiem tiesnesis saucams pie disciplinārās atbildības saskaņā ar š</w:t>
      </w:r>
      <w:r w:rsidR="001C3F60">
        <w:rPr>
          <w:rFonts w:ascii="Times New Roman" w:hAnsi="Times New Roman"/>
          <w:sz w:val="24"/>
          <w:szCs w:val="24"/>
        </w:rPr>
        <w:t xml:space="preserve">ā likuma 14.nodaļas </w:t>
      </w:r>
      <w:r w:rsidR="00230394">
        <w:rPr>
          <w:rFonts w:ascii="Times New Roman" w:hAnsi="Times New Roman"/>
          <w:sz w:val="24"/>
          <w:szCs w:val="24"/>
        </w:rPr>
        <w:t xml:space="preserve">noteikumiem. </w:t>
      </w:r>
    </w:p>
    <w:p w14:paraId="32FA9651" w14:textId="205F81D2" w:rsidR="00B47452" w:rsidRDefault="00230394" w:rsidP="00090C01">
      <w:pPr>
        <w:spacing w:after="0" w:line="360" w:lineRule="auto"/>
        <w:ind w:firstLine="720"/>
        <w:jc w:val="both"/>
        <w:rPr>
          <w:rFonts w:ascii="Times New Roman" w:hAnsi="Times New Roman"/>
          <w:color w:val="000000"/>
          <w:w w:val="104"/>
          <w:sz w:val="24"/>
          <w:szCs w:val="24"/>
        </w:rPr>
      </w:pPr>
      <w:r>
        <w:rPr>
          <w:rFonts w:ascii="Times New Roman" w:hAnsi="Times New Roman"/>
          <w:color w:val="000000"/>
          <w:w w:val="104"/>
          <w:sz w:val="24"/>
          <w:szCs w:val="24"/>
        </w:rPr>
        <w:t>Latvijas tiesnešu ētikas kodeksa</w:t>
      </w:r>
      <w:r w:rsidR="00752637">
        <w:rPr>
          <w:rFonts w:ascii="Times New Roman" w:hAnsi="Times New Roman"/>
          <w:color w:val="000000"/>
          <w:w w:val="104"/>
          <w:sz w:val="24"/>
          <w:szCs w:val="24"/>
        </w:rPr>
        <w:t xml:space="preserve"> 1.kanona 2.punkts noteic, ka tiesneša rīcībai ir jāsaskan ar Satversmi un </w:t>
      </w:r>
      <w:r w:rsidR="00A95114">
        <w:rPr>
          <w:rFonts w:ascii="Times New Roman" w:hAnsi="Times New Roman"/>
          <w:color w:val="000000"/>
          <w:w w:val="104"/>
          <w:sz w:val="24"/>
          <w:szCs w:val="24"/>
        </w:rPr>
        <w:t>l</w:t>
      </w:r>
      <w:r w:rsidR="00752637">
        <w:rPr>
          <w:rFonts w:ascii="Times New Roman" w:hAnsi="Times New Roman"/>
          <w:color w:val="000000"/>
          <w:w w:val="104"/>
          <w:sz w:val="24"/>
          <w:szCs w:val="24"/>
        </w:rPr>
        <w:t>ikumu un jābūt godprātīgai</w:t>
      </w:r>
      <w:r w:rsidR="00A95114">
        <w:rPr>
          <w:rFonts w:ascii="Times New Roman" w:hAnsi="Times New Roman"/>
          <w:color w:val="000000"/>
          <w:w w:val="104"/>
          <w:sz w:val="24"/>
          <w:szCs w:val="24"/>
        </w:rPr>
        <w:t>.</w:t>
      </w:r>
      <w:r w:rsidR="00752637">
        <w:rPr>
          <w:rFonts w:ascii="Times New Roman" w:hAnsi="Times New Roman"/>
          <w:color w:val="000000"/>
          <w:w w:val="104"/>
          <w:sz w:val="24"/>
          <w:szCs w:val="24"/>
        </w:rPr>
        <w:t xml:space="preserve"> </w:t>
      </w:r>
      <w:r>
        <w:rPr>
          <w:rFonts w:ascii="Times New Roman" w:hAnsi="Times New Roman"/>
          <w:color w:val="000000"/>
          <w:w w:val="104"/>
          <w:sz w:val="24"/>
          <w:szCs w:val="24"/>
        </w:rPr>
        <w:t xml:space="preserve">2.kanona 1.punkts </w:t>
      </w:r>
      <w:r w:rsidR="00A95114">
        <w:rPr>
          <w:rFonts w:ascii="Times New Roman" w:hAnsi="Times New Roman"/>
          <w:color w:val="000000"/>
          <w:w w:val="104"/>
          <w:sz w:val="24"/>
          <w:szCs w:val="24"/>
        </w:rPr>
        <w:t>paredz</w:t>
      </w:r>
      <w:r>
        <w:rPr>
          <w:rFonts w:ascii="Times New Roman" w:hAnsi="Times New Roman"/>
          <w:color w:val="000000"/>
          <w:w w:val="104"/>
          <w:sz w:val="24"/>
          <w:szCs w:val="24"/>
        </w:rPr>
        <w:t>, ka tiesnesis ciena un iev</w:t>
      </w:r>
      <w:r w:rsidR="0022204E">
        <w:rPr>
          <w:rFonts w:ascii="Times New Roman" w:hAnsi="Times New Roman"/>
          <w:color w:val="000000"/>
          <w:w w:val="104"/>
          <w:sz w:val="24"/>
          <w:szCs w:val="24"/>
        </w:rPr>
        <w:t>ēro likumu</w:t>
      </w:r>
      <w:r w:rsidR="00A95114">
        <w:rPr>
          <w:rFonts w:ascii="Times New Roman" w:hAnsi="Times New Roman"/>
          <w:color w:val="000000"/>
          <w:w w:val="104"/>
          <w:sz w:val="24"/>
          <w:szCs w:val="24"/>
        </w:rPr>
        <w:t xml:space="preserve">. Savukārt </w:t>
      </w:r>
      <w:r w:rsidR="0022204E">
        <w:rPr>
          <w:rFonts w:ascii="Times New Roman" w:hAnsi="Times New Roman"/>
          <w:color w:val="000000"/>
          <w:w w:val="104"/>
          <w:sz w:val="24"/>
          <w:szCs w:val="24"/>
        </w:rPr>
        <w:t xml:space="preserve">2.kanona </w:t>
      </w:r>
      <w:r w:rsidR="007E5A5D">
        <w:rPr>
          <w:rFonts w:ascii="Times New Roman" w:hAnsi="Times New Roman"/>
          <w:color w:val="000000"/>
          <w:w w:val="104"/>
          <w:sz w:val="24"/>
          <w:szCs w:val="24"/>
        </w:rPr>
        <w:t>3.punkts noteic, ka tiesnesis darbojas tā, lai veicinātu sabiedrības uzticību tiesas godīgumam un objektivitātei.</w:t>
      </w:r>
    </w:p>
    <w:p w14:paraId="4CD806E5" w14:textId="77777777" w:rsidR="005E7F80" w:rsidRDefault="005E7F80" w:rsidP="00090C01">
      <w:pPr>
        <w:spacing w:after="0" w:line="360" w:lineRule="auto"/>
        <w:ind w:firstLine="720"/>
        <w:jc w:val="both"/>
        <w:rPr>
          <w:rFonts w:ascii="Times New Roman" w:hAnsi="Times New Roman"/>
          <w:color w:val="000000"/>
          <w:w w:val="104"/>
          <w:sz w:val="24"/>
          <w:szCs w:val="24"/>
        </w:rPr>
      </w:pPr>
    </w:p>
    <w:p w14:paraId="52656490" w14:textId="746A7539" w:rsidR="00B47452" w:rsidRDefault="00DF7460" w:rsidP="00090C01">
      <w:pPr>
        <w:spacing w:after="0" w:line="360" w:lineRule="auto"/>
        <w:ind w:firstLine="720"/>
        <w:jc w:val="both"/>
        <w:rPr>
          <w:rFonts w:ascii="Times New Roman" w:hAnsi="Times New Roman"/>
          <w:color w:val="000000"/>
          <w:w w:val="104"/>
          <w:sz w:val="24"/>
          <w:szCs w:val="24"/>
        </w:rPr>
      </w:pPr>
      <w:r>
        <w:rPr>
          <w:rFonts w:ascii="Times New Roman" w:hAnsi="Times New Roman"/>
          <w:color w:val="000000"/>
          <w:w w:val="104"/>
          <w:sz w:val="24"/>
          <w:szCs w:val="24"/>
        </w:rPr>
        <w:t>[2]</w:t>
      </w:r>
      <w:r w:rsidR="00834768">
        <w:rPr>
          <w:rFonts w:ascii="Times New Roman" w:hAnsi="Times New Roman"/>
          <w:color w:val="000000"/>
          <w:w w:val="104"/>
          <w:sz w:val="24"/>
          <w:szCs w:val="24"/>
        </w:rPr>
        <w:t> </w:t>
      </w:r>
      <w:r w:rsidR="00B47452">
        <w:rPr>
          <w:rFonts w:ascii="Times New Roman" w:hAnsi="Times New Roman"/>
          <w:color w:val="000000"/>
          <w:w w:val="104"/>
          <w:sz w:val="24"/>
          <w:szCs w:val="24"/>
        </w:rPr>
        <w:t>Tiesnesim piešķirt</w:t>
      </w:r>
      <w:r>
        <w:rPr>
          <w:rFonts w:ascii="Times New Roman" w:hAnsi="Times New Roman"/>
          <w:color w:val="000000"/>
          <w:w w:val="104"/>
          <w:sz w:val="24"/>
          <w:szCs w:val="24"/>
        </w:rPr>
        <w:t xml:space="preserve">a </w:t>
      </w:r>
      <w:r w:rsidR="008C0347">
        <w:rPr>
          <w:rFonts w:ascii="Times New Roman" w:hAnsi="Times New Roman"/>
          <w:color w:val="000000"/>
          <w:w w:val="104"/>
          <w:sz w:val="24"/>
          <w:szCs w:val="24"/>
        </w:rPr>
        <w:t xml:space="preserve">administratīvā </w:t>
      </w:r>
      <w:r>
        <w:rPr>
          <w:rFonts w:ascii="Times New Roman" w:hAnsi="Times New Roman"/>
          <w:color w:val="000000"/>
          <w:w w:val="104"/>
          <w:sz w:val="24"/>
          <w:szCs w:val="24"/>
        </w:rPr>
        <w:t>imunitāte</w:t>
      </w:r>
      <w:r w:rsidR="00B47452">
        <w:rPr>
          <w:rFonts w:ascii="Times New Roman" w:hAnsi="Times New Roman"/>
          <w:color w:val="000000"/>
          <w:w w:val="104"/>
          <w:sz w:val="24"/>
          <w:szCs w:val="24"/>
        </w:rPr>
        <w:t xml:space="preserve">, lai </w:t>
      </w:r>
      <w:r w:rsidR="003650E9">
        <w:rPr>
          <w:rFonts w:ascii="Times New Roman" w:hAnsi="Times New Roman"/>
          <w:color w:val="000000"/>
          <w:w w:val="104"/>
          <w:sz w:val="24"/>
          <w:szCs w:val="24"/>
        </w:rPr>
        <w:t>nepie</w:t>
      </w:r>
      <w:r w:rsidR="00920B73">
        <w:rPr>
          <w:rFonts w:ascii="Times New Roman" w:hAnsi="Times New Roman"/>
          <w:color w:val="000000"/>
          <w:w w:val="104"/>
          <w:sz w:val="24"/>
          <w:szCs w:val="24"/>
        </w:rPr>
        <w:t xml:space="preserve">ļautu </w:t>
      </w:r>
      <w:r w:rsidR="003650E9">
        <w:rPr>
          <w:rFonts w:ascii="Times New Roman" w:hAnsi="Times New Roman"/>
          <w:color w:val="000000"/>
          <w:w w:val="104"/>
          <w:sz w:val="24"/>
          <w:szCs w:val="24"/>
        </w:rPr>
        <w:t xml:space="preserve">nepamatotu </w:t>
      </w:r>
      <w:r w:rsidR="00B47452">
        <w:rPr>
          <w:rFonts w:ascii="Times New Roman" w:hAnsi="Times New Roman"/>
          <w:color w:val="000000"/>
          <w:w w:val="104"/>
          <w:sz w:val="24"/>
          <w:szCs w:val="24"/>
        </w:rPr>
        <w:t>iejauk</w:t>
      </w:r>
      <w:r w:rsidR="003650E9">
        <w:rPr>
          <w:rFonts w:ascii="Times New Roman" w:hAnsi="Times New Roman"/>
          <w:color w:val="000000"/>
          <w:w w:val="104"/>
          <w:sz w:val="24"/>
          <w:szCs w:val="24"/>
        </w:rPr>
        <w:t xml:space="preserve">šanos </w:t>
      </w:r>
      <w:r w:rsidR="00B47452">
        <w:rPr>
          <w:rFonts w:ascii="Times New Roman" w:hAnsi="Times New Roman"/>
          <w:color w:val="000000"/>
          <w:w w:val="104"/>
          <w:sz w:val="24"/>
          <w:szCs w:val="24"/>
        </w:rPr>
        <w:t>tiesneš</w:t>
      </w:r>
      <w:r w:rsidR="008C0347">
        <w:rPr>
          <w:rFonts w:ascii="Times New Roman" w:hAnsi="Times New Roman"/>
          <w:color w:val="000000"/>
          <w:w w:val="104"/>
          <w:sz w:val="24"/>
          <w:szCs w:val="24"/>
        </w:rPr>
        <w:t>a</w:t>
      </w:r>
      <w:r w:rsidR="00B47452">
        <w:rPr>
          <w:rFonts w:ascii="Times New Roman" w:hAnsi="Times New Roman"/>
          <w:color w:val="000000"/>
          <w:w w:val="104"/>
          <w:sz w:val="24"/>
          <w:szCs w:val="24"/>
        </w:rPr>
        <w:t xml:space="preserve"> profesionālajā darbībā</w:t>
      </w:r>
      <w:r>
        <w:rPr>
          <w:rFonts w:ascii="Times New Roman" w:hAnsi="Times New Roman"/>
          <w:color w:val="000000"/>
          <w:w w:val="104"/>
          <w:sz w:val="24"/>
          <w:szCs w:val="24"/>
        </w:rPr>
        <w:t xml:space="preserve"> un </w:t>
      </w:r>
      <w:r w:rsidR="008C0347">
        <w:rPr>
          <w:rFonts w:ascii="Times New Roman" w:hAnsi="Times New Roman"/>
          <w:color w:val="000000"/>
          <w:w w:val="104"/>
          <w:sz w:val="24"/>
          <w:szCs w:val="24"/>
        </w:rPr>
        <w:t xml:space="preserve">pasargātu </w:t>
      </w:r>
      <w:r w:rsidR="00B47452">
        <w:rPr>
          <w:rFonts w:ascii="Times New Roman" w:hAnsi="Times New Roman"/>
          <w:color w:val="000000"/>
          <w:w w:val="104"/>
          <w:sz w:val="24"/>
          <w:szCs w:val="24"/>
        </w:rPr>
        <w:t>tiesnes</w:t>
      </w:r>
      <w:r w:rsidR="008C0347">
        <w:rPr>
          <w:rFonts w:ascii="Times New Roman" w:hAnsi="Times New Roman"/>
          <w:color w:val="000000"/>
          <w:w w:val="104"/>
          <w:sz w:val="24"/>
          <w:szCs w:val="24"/>
        </w:rPr>
        <w:t>i</w:t>
      </w:r>
      <w:r w:rsidR="00B47452">
        <w:rPr>
          <w:rFonts w:ascii="Times New Roman" w:hAnsi="Times New Roman"/>
          <w:color w:val="000000"/>
          <w:w w:val="104"/>
          <w:sz w:val="24"/>
          <w:szCs w:val="24"/>
        </w:rPr>
        <w:t xml:space="preserve"> no iespējamās ārējās ietekmes. </w:t>
      </w:r>
    </w:p>
    <w:p w14:paraId="36D5367B" w14:textId="2E2C52F1" w:rsidR="003650E9" w:rsidRDefault="00E80381" w:rsidP="00090C01">
      <w:pPr>
        <w:spacing w:after="0" w:line="360" w:lineRule="auto"/>
        <w:ind w:firstLine="720"/>
        <w:jc w:val="both"/>
        <w:rPr>
          <w:rFonts w:ascii="Times New Roman" w:hAnsi="Times New Roman"/>
          <w:color w:val="000000"/>
          <w:w w:val="104"/>
          <w:sz w:val="24"/>
          <w:szCs w:val="24"/>
        </w:rPr>
      </w:pPr>
      <w:r>
        <w:rPr>
          <w:rFonts w:ascii="Times New Roman" w:hAnsi="Times New Roman"/>
          <w:color w:val="000000"/>
          <w:w w:val="104"/>
          <w:sz w:val="24"/>
          <w:szCs w:val="24"/>
        </w:rPr>
        <w:t>Tiesneša administratīvā imunitāte</w:t>
      </w:r>
      <w:r w:rsidR="00DF7460">
        <w:rPr>
          <w:rFonts w:ascii="Times New Roman" w:hAnsi="Times New Roman"/>
          <w:color w:val="000000"/>
          <w:w w:val="104"/>
          <w:sz w:val="24"/>
          <w:szCs w:val="24"/>
        </w:rPr>
        <w:t xml:space="preserve"> </w:t>
      </w:r>
      <w:r>
        <w:rPr>
          <w:rFonts w:ascii="Times New Roman" w:hAnsi="Times New Roman"/>
          <w:color w:val="000000"/>
          <w:w w:val="104"/>
          <w:sz w:val="24"/>
          <w:szCs w:val="24"/>
        </w:rPr>
        <w:t>regulē</w:t>
      </w:r>
      <w:r w:rsidR="000139E8">
        <w:rPr>
          <w:rFonts w:ascii="Times New Roman" w:hAnsi="Times New Roman"/>
          <w:color w:val="000000"/>
          <w:w w:val="104"/>
          <w:sz w:val="24"/>
          <w:szCs w:val="24"/>
        </w:rPr>
        <w:t>ta</w:t>
      </w:r>
      <w:r w:rsidR="00DF7460">
        <w:rPr>
          <w:rFonts w:ascii="Times New Roman" w:hAnsi="Times New Roman"/>
          <w:color w:val="000000"/>
          <w:w w:val="104"/>
          <w:sz w:val="24"/>
          <w:szCs w:val="24"/>
        </w:rPr>
        <w:t xml:space="preserve"> likumā</w:t>
      </w:r>
      <w:r w:rsidR="008C0347">
        <w:rPr>
          <w:rFonts w:ascii="Times New Roman" w:hAnsi="Times New Roman"/>
          <w:color w:val="000000"/>
          <w:w w:val="104"/>
          <w:sz w:val="24"/>
          <w:szCs w:val="24"/>
        </w:rPr>
        <w:t>,</w:t>
      </w:r>
      <w:r>
        <w:rPr>
          <w:rFonts w:ascii="Times New Roman" w:hAnsi="Times New Roman"/>
          <w:color w:val="000000"/>
          <w:w w:val="104"/>
          <w:sz w:val="24"/>
          <w:szCs w:val="24"/>
        </w:rPr>
        <w:t xml:space="preserve"> un atteikšanos</w:t>
      </w:r>
      <w:r w:rsidR="003650E9">
        <w:rPr>
          <w:rFonts w:ascii="Times New Roman" w:hAnsi="Times New Roman"/>
          <w:color w:val="000000"/>
          <w:w w:val="104"/>
          <w:sz w:val="24"/>
          <w:szCs w:val="24"/>
        </w:rPr>
        <w:t xml:space="preserve"> vai izvēles tiesīb</w:t>
      </w:r>
      <w:r w:rsidR="000139E8">
        <w:rPr>
          <w:rFonts w:ascii="Times New Roman" w:hAnsi="Times New Roman"/>
          <w:color w:val="000000"/>
          <w:w w:val="104"/>
          <w:sz w:val="24"/>
          <w:szCs w:val="24"/>
        </w:rPr>
        <w:t>u</w:t>
      </w:r>
      <w:r w:rsidR="003650E9">
        <w:rPr>
          <w:rFonts w:ascii="Times New Roman" w:hAnsi="Times New Roman"/>
          <w:color w:val="000000"/>
          <w:w w:val="104"/>
          <w:sz w:val="24"/>
          <w:szCs w:val="24"/>
        </w:rPr>
        <w:t xml:space="preserve"> izmantot administratīvo imunitāti </w:t>
      </w:r>
      <w:r>
        <w:rPr>
          <w:rFonts w:ascii="Times New Roman" w:hAnsi="Times New Roman"/>
          <w:color w:val="000000"/>
          <w:w w:val="104"/>
          <w:sz w:val="24"/>
          <w:szCs w:val="24"/>
        </w:rPr>
        <w:t>likums neparedz. Tiesnesim likums ir jāpilda</w:t>
      </w:r>
      <w:r w:rsidR="00A95114">
        <w:rPr>
          <w:rFonts w:ascii="Times New Roman" w:hAnsi="Times New Roman"/>
          <w:color w:val="000000"/>
          <w:w w:val="104"/>
          <w:sz w:val="24"/>
          <w:szCs w:val="24"/>
        </w:rPr>
        <w:t>,</w:t>
      </w:r>
      <w:r>
        <w:rPr>
          <w:rFonts w:ascii="Times New Roman" w:hAnsi="Times New Roman"/>
          <w:color w:val="000000"/>
          <w:w w:val="104"/>
          <w:sz w:val="24"/>
          <w:szCs w:val="24"/>
        </w:rPr>
        <w:t xml:space="preserve"> un situācijā, </w:t>
      </w:r>
      <w:r w:rsidR="008C0347">
        <w:rPr>
          <w:rFonts w:ascii="Times New Roman" w:hAnsi="Times New Roman"/>
          <w:color w:val="000000"/>
          <w:w w:val="104"/>
          <w:sz w:val="24"/>
          <w:szCs w:val="24"/>
        </w:rPr>
        <w:t>kad ir konstatēts</w:t>
      </w:r>
      <w:r>
        <w:rPr>
          <w:rFonts w:ascii="Times New Roman" w:hAnsi="Times New Roman"/>
          <w:color w:val="000000"/>
          <w:w w:val="104"/>
          <w:sz w:val="24"/>
          <w:szCs w:val="24"/>
        </w:rPr>
        <w:t xml:space="preserve"> administratīvais pārkāpums</w:t>
      </w:r>
      <w:r w:rsidR="008C0347">
        <w:rPr>
          <w:rFonts w:ascii="Times New Roman" w:hAnsi="Times New Roman"/>
          <w:color w:val="000000"/>
          <w:w w:val="104"/>
          <w:sz w:val="24"/>
          <w:szCs w:val="24"/>
        </w:rPr>
        <w:t>,</w:t>
      </w:r>
      <w:r>
        <w:rPr>
          <w:rFonts w:ascii="Times New Roman" w:hAnsi="Times New Roman"/>
          <w:color w:val="000000"/>
          <w:w w:val="104"/>
          <w:sz w:val="24"/>
          <w:szCs w:val="24"/>
        </w:rPr>
        <w:t xml:space="preserve"> ir jāinformē varas pārstāvis par ieņemamo amatu, par to, ka tiesnesim nevar piemērot administratīvo sodu un</w:t>
      </w:r>
      <w:r w:rsidR="000139E8">
        <w:rPr>
          <w:rFonts w:ascii="Times New Roman" w:hAnsi="Times New Roman"/>
          <w:color w:val="000000"/>
          <w:w w:val="104"/>
          <w:sz w:val="24"/>
          <w:szCs w:val="24"/>
        </w:rPr>
        <w:t xml:space="preserve"> ka tiesnesi nedrīkst aizturēt </w:t>
      </w:r>
      <w:r>
        <w:rPr>
          <w:rFonts w:ascii="Times New Roman" w:hAnsi="Times New Roman"/>
          <w:color w:val="000000"/>
          <w:w w:val="104"/>
          <w:sz w:val="24"/>
          <w:szCs w:val="24"/>
        </w:rPr>
        <w:t>administratīvā kārtībā.</w:t>
      </w:r>
    </w:p>
    <w:p w14:paraId="240F947A" w14:textId="01E7FD85" w:rsidR="005E7F80" w:rsidRDefault="00DC2698" w:rsidP="00090C01">
      <w:pPr>
        <w:spacing w:after="0" w:line="360" w:lineRule="auto"/>
        <w:ind w:firstLine="720"/>
        <w:jc w:val="both"/>
        <w:rPr>
          <w:rFonts w:ascii="Times New Roman" w:hAnsi="Times New Roman"/>
          <w:color w:val="000000"/>
          <w:w w:val="104"/>
          <w:sz w:val="24"/>
          <w:szCs w:val="24"/>
        </w:rPr>
      </w:pPr>
      <w:r>
        <w:rPr>
          <w:rFonts w:ascii="Times New Roman" w:hAnsi="Times New Roman"/>
          <w:color w:val="000000"/>
          <w:w w:val="104"/>
          <w:sz w:val="24"/>
          <w:szCs w:val="24"/>
        </w:rPr>
        <w:t>Tiesneš</w:t>
      </w:r>
      <w:r w:rsidR="008C0347">
        <w:rPr>
          <w:rFonts w:ascii="Times New Roman" w:hAnsi="Times New Roman"/>
          <w:color w:val="000000"/>
          <w:w w:val="104"/>
          <w:sz w:val="24"/>
          <w:szCs w:val="24"/>
        </w:rPr>
        <w:t>u</w:t>
      </w:r>
      <w:r>
        <w:rPr>
          <w:rFonts w:ascii="Times New Roman" w:hAnsi="Times New Roman"/>
          <w:color w:val="000000"/>
          <w:w w:val="104"/>
          <w:sz w:val="24"/>
          <w:szCs w:val="24"/>
        </w:rPr>
        <w:t xml:space="preserve"> ētikas normas nepieļauj likumā noteiktās kārtības neievērošanu. </w:t>
      </w:r>
      <w:r w:rsidR="006B33DA" w:rsidRPr="006B33DA">
        <w:rPr>
          <w:rFonts w:ascii="Times New Roman" w:hAnsi="Times New Roman"/>
          <w:color w:val="000000"/>
          <w:w w:val="104"/>
          <w:sz w:val="24"/>
          <w:szCs w:val="24"/>
        </w:rPr>
        <w:t>Tā kā tiesas darba būtība ir pieprasīt tiesību normu ievērošanu no citām personām, tad katram tiesnesim pašam ir jābūt piemēram pārējiem sabiedrības locekļiem tiesību normu ievērošanā</w:t>
      </w:r>
      <w:r w:rsidR="006B33DA">
        <w:rPr>
          <w:rFonts w:ascii="Times New Roman" w:hAnsi="Times New Roman"/>
          <w:color w:val="000000"/>
          <w:w w:val="104"/>
          <w:sz w:val="24"/>
          <w:szCs w:val="24"/>
        </w:rPr>
        <w:t xml:space="preserve"> </w:t>
      </w:r>
      <w:r w:rsidR="006B33DA" w:rsidRPr="006B33DA">
        <w:rPr>
          <w:rFonts w:ascii="Times New Roman" w:eastAsia="Arial Unicode MS" w:hAnsi="Times New Roman"/>
          <w:kern w:val="1"/>
          <w:sz w:val="24"/>
          <w:szCs w:val="24"/>
        </w:rPr>
        <w:t>(</w:t>
      </w:r>
      <w:r w:rsidR="006B33DA" w:rsidRPr="006B33DA">
        <w:rPr>
          <w:rFonts w:ascii="Times New Roman" w:eastAsia="Arial Unicode MS" w:hAnsi="Times New Roman"/>
          <w:i/>
          <w:kern w:val="1"/>
          <w:sz w:val="24"/>
          <w:szCs w:val="24"/>
        </w:rPr>
        <w:t>sk. Tiesnešu ētikas komisijas 20</w:t>
      </w:r>
      <w:r w:rsidR="006B33DA">
        <w:rPr>
          <w:rFonts w:ascii="Times New Roman" w:eastAsia="Arial Unicode MS" w:hAnsi="Times New Roman"/>
          <w:i/>
          <w:kern w:val="1"/>
          <w:sz w:val="24"/>
          <w:szCs w:val="24"/>
        </w:rPr>
        <w:t>1</w:t>
      </w:r>
      <w:r w:rsidR="006B33DA" w:rsidRPr="006B33DA">
        <w:rPr>
          <w:rFonts w:ascii="Times New Roman" w:eastAsia="Arial Unicode MS" w:hAnsi="Times New Roman"/>
          <w:i/>
          <w:kern w:val="1"/>
          <w:sz w:val="24"/>
          <w:szCs w:val="24"/>
        </w:rPr>
        <w:t>8.gada 1</w:t>
      </w:r>
      <w:r w:rsidR="006B33DA">
        <w:rPr>
          <w:rFonts w:ascii="Times New Roman" w:eastAsia="Arial Unicode MS" w:hAnsi="Times New Roman"/>
          <w:i/>
          <w:kern w:val="1"/>
          <w:sz w:val="24"/>
          <w:szCs w:val="24"/>
        </w:rPr>
        <w:t>6</w:t>
      </w:r>
      <w:r w:rsidR="006B33DA" w:rsidRPr="006B33DA">
        <w:rPr>
          <w:rFonts w:ascii="Times New Roman" w:eastAsia="Arial Unicode MS" w:hAnsi="Times New Roman"/>
          <w:i/>
          <w:kern w:val="1"/>
          <w:sz w:val="24"/>
          <w:szCs w:val="24"/>
        </w:rPr>
        <w:t>.</w:t>
      </w:r>
      <w:r w:rsidR="006B33DA">
        <w:rPr>
          <w:rFonts w:ascii="Times New Roman" w:eastAsia="Arial Unicode MS" w:hAnsi="Times New Roman"/>
          <w:i/>
          <w:kern w:val="1"/>
          <w:sz w:val="24"/>
          <w:szCs w:val="24"/>
        </w:rPr>
        <w:t>marta</w:t>
      </w:r>
      <w:r w:rsidR="006B33DA" w:rsidRPr="006B33DA">
        <w:rPr>
          <w:rFonts w:ascii="Times New Roman" w:eastAsia="Arial Unicode MS" w:hAnsi="Times New Roman"/>
          <w:i/>
          <w:kern w:val="1"/>
          <w:sz w:val="24"/>
          <w:szCs w:val="24"/>
        </w:rPr>
        <w:t xml:space="preserve"> skaidrojumu</w:t>
      </w:r>
      <w:r w:rsidR="006B33DA" w:rsidRPr="006B33DA">
        <w:rPr>
          <w:rFonts w:ascii="Times New Roman" w:eastAsia="Arial Unicode MS" w:hAnsi="Times New Roman"/>
          <w:kern w:val="1"/>
          <w:sz w:val="24"/>
          <w:szCs w:val="24"/>
        </w:rPr>
        <w:t>)</w:t>
      </w:r>
      <w:r w:rsidR="006B33DA" w:rsidRPr="006B33DA">
        <w:rPr>
          <w:rFonts w:ascii="Times New Roman" w:hAnsi="Times New Roman"/>
          <w:color w:val="000000"/>
          <w:w w:val="104"/>
          <w:sz w:val="24"/>
          <w:szCs w:val="24"/>
        </w:rPr>
        <w:t>.</w:t>
      </w:r>
      <w:r w:rsidR="00834768">
        <w:rPr>
          <w:rFonts w:ascii="Times New Roman" w:hAnsi="Times New Roman"/>
          <w:color w:val="000000"/>
          <w:w w:val="104"/>
          <w:sz w:val="24"/>
          <w:szCs w:val="24"/>
        </w:rPr>
        <w:t xml:space="preserve"> </w:t>
      </w:r>
      <w:r>
        <w:rPr>
          <w:rFonts w:ascii="Times New Roman" w:hAnsi="Times New Roman"/>
          <w:color w:val="000000"/>
          <w:w w:val="104"/>
          <w:sz w:val="24"/>
          <w:szCs w:val="24"/>
        </w:rPr>
        <w:t>T</w:t>
      </w:r>
      <w:r w:rsidR="00B000FC">
        <w:rPr>
          <w:rFonts w:ascii="Times New Roman" w:hAnsi="Times New Roman"/>
          <w:color w:val="000000"/>
          <w:w w:val="104"/>
          <w:sz w:val="24"/>
          <w:szCs w:val="24"/>
        </w:rPr>
        <w:t xml:space="preserve">iesnesis, kurš </w:t>
      </w:r>
      <w:r w:rsidR="00A258AB">
        <w:rPr>
          <w:rFonts w:ascii="Times New Roman" w:hAnsi="Times New Roman"/>
          <w:color w:val="000000"/>
          <w:w w:val="104"/>
          <w:sz w:val="24"/>
          <w:szCs w:val="24"/>
        </w:rPr>
        <w:t xml:space="preserve">pilda likumu </w:t>
      </w:r>
      <w:r w:rsidR="00A258AB">
        <w:rPr>
          <w:rFonts w:ascii="Times New Roman" w:hAnsi="Times New Roman"/>
          <w:color w:val="000000"/>
          <w:w w:val="104"/>
          <w:sz w:val="24"/>
          <w:szCs w:val="24"/>
        </w:rPr>
        <w:lastRenderedPageBreak/>
        <w:t>pēc saviem ieskatiem</w:t>
      </w:r>
      <w:r w:rsidR="003650E9">
        <w:rPr>
          <w:rFonts w:ascii="Times New Roman" w:hAnsi="Times New Roman"/>
          <w:color w:val="000000"/>
          <w:w w:val="104"/>
          <w:sz w:val="24"/>
          <w:szCs w:val="24"/>
        </w:rPr>
        <w:t>, proti</w:t>
      </w:r>
      <w:r w:rsidR="000C29E3">
        <w:rPr>
          <w:rFonts w:ascii="Times New Roman" w:hAnsi="Times New Roman"/>
          <w:color w:val="000000"/>
          <w:w w:val="104"/>
          <w:sz w:val="24"/>
          <w:szCs w:val="24"/>
        </w:rPr>
        <w:t>,</w:t>
      </w:r>
      <w:r w:rsidR="003650E9">
        <w:rPr>
          <w:rFonts w:ascii="Times New Roman" w:hAnsi="Times New Roman"/>
          <w:color w:val="000000"/>
          <w:w w:val="104"/>
          <w:sz w:val="24"/>
          <w:szCs w:val="24"/>
        </w:rPr>
        <w:t xml:space="preserve"> izvēlas </w:t>
      </w:r>
      <w:r w:rsidR="000C29E3">
        <w:rPr>
          <w:rFonts w:ascii="Times New Roman" w:hAnsi="Times New Roman"/>
          <w:color w:val="000000"/>
          <w:w w:val="104"/>
          <w:sz w:val="24"/>
          <w:szCs w:val="24"/>
        </w:rPr>
        <w:t xml:space="preserve">norādīt vai nenorādīt uz </w:t>
      </w:r>
      <w:r w:rsidR="003650E9">
        <w:rPr>
          <w:rFonts w:ascii="Times New Roman" w:hAnsi="Times New Roman"/>
          <w:color w:val="000000"/>
          <w:w w:val="104"/>
          <w:sz w:val="24"/>
          <w:szCs w:val="24"/>
        </w:rPr>
        <w:t>administratīvo imunitāti</w:t>
      </w:r>
      <w:r w:rsidR="008C0347">
        <w:rPr>
          <w:rFonts w:ascii="Times New Roman" w:hAnsi="Times New Roman"/>
          <w:color w:val="000000"/>
          <w:w w:val="104"/>
          <w:sz w:val="24"/>
          <w:szCs w:val="24"/>
        </w:rPr>
        <w:t>,</w:t>
      </w:r>
      <w:r w:rsidR="000139E8">
        <w:rPr>
          <w:rFonts w:ascii="Times New Roman" w:hAnsi="Times New Roman"/>
          <w:color w:val="000000"/>
          <w:w w:val="104"/>
          <w:sz w:val="24"/>
          <w:szCs w:val="24"/>
        </w:rPr>
        <w:t xml:space="preserve"> radīs </w:t>
      </w:r>
      <w:r w:rsidR="003650E9">
        <w:rPr>
          <w:rFonts w:ascii="Times New Roman" w:hAnsi="Times New Roman"/>
          <w:color w:val="000000"/>
          <w:w w:val="104"/>
          <w:sz w:val="24"/>
          <w:szCs w:val="24"/>
        </w:rPr>
        <w:t>sabiedrībai p</w:t>
      </w:r>
      <w:r w:rsidR="005E7F80">
        <w:rPr>
          <w:rFonts w:ascii="Times New Roman" w:hAnsi="Times New Roman"/>
          <w:color w:val="000000"/>
          <w:w w:val="104"/>
          <w:sz w:val="24"/>
          <w:szCs w:val="24"/>
        </w:rPr>
        <w:t xml:space="preserve">riekšstatu par to, ka likumu var arī </w:t>
      </w:r>
      <w:r w:rsidR="00B47452">
        <w:rPr>
          <w:rFonts w:ascii="Times New Roman" w:hAnsi="Times New Roman"/>
          <w:color w:val="000000"/>
          <w:w w:val="104"/>
          <w:sz w:val="24"/>
          <w:szCs w:val="24"/>
        </w:rPr>
        <w:t>neievērot</w:t>
      </w:r>
      <w:r w:rsidR="005E7F80">
        <w:rPr>
          <w:rFonts w:ascii="Times New Roman" w:hAnsi="Times New Roman"/>
          <w:color w:val="000000"/>
          <w:w w:val="104"/>
          <w:sz w:val="24"/>
          <w:szCs w:val="24"/>
        </w:rPr>
        <w:t>.</w:t>
      </w:r>
    </w:p>
    <w:p w14:paraId="2A1BB8B3" w14:textId="77777777" w:rsidR="003650E9" w:rsidRDefault="003650E9" w:rsidP="00090C01">
      <w:pPr>
        <w:spacing w:after="0" w:line="360" w:lineRule="auto"/>
        <w:ind w:firstLine="720"/>
        <w:jc w:val="both"/>
        <w:rPr>
          <w:rFonts w:ascii="Times New Roman" w:hAnsi="Times New Roman"/>
          <w:color w:val="000000"/>
          <w:w w:val="104"/>
          <w:sz w:val="24"/>
          <w:szCs w:val="24"/>
        </w:rPr>
      </w:pPr>
    </w:p>
    <w:p w14:paraId="3EAC2B56" w14:textId="52ECA4F8" w:rsidR="0025713F" w:rsidRPr="00CC6059" w:rsidRDefault="008C0347" w:rsidP="00641A88">
      <w:pPr>
        <w:spacing w:after="0" w:line="360" w:lineRule="auto"/>
        <w:ind w:firstLine="720"/>
        <w:jc w:val="both"/>
        <w:rPr>
          <w:rFonts w:ascii="Times New Roman" w:eastAsia="Times New Roman" w:hAnsi="Times New Roman"/>
          <w:sz w:val="24"/>
          <w:szCs w:val="24"/>
        </w:rPr>
      </w:pPr>
      <w:r>
        <w:rPr>
          <w:rFonts w:ascii="Times New Roman" w:hAnsi="Times New Roman"/>
          <w:color w:val="000000"/>
          <w:w w:val="104"/>
          <w:sz w:val="24"/>
          <w:szCs w:val="24"/>
        </w:rPr>
        <w:t>Tajā pašā laikā, p</w:t>
      </w:r>
      <w:r w:rsidR="003650E9">
        <w:rPr>
          <w:rFonts w:ascii="Times New Roman" w:hAnsi="Times New Roman"/>
          <w:color w:val="000000"/>
          <w:w w:val="104"/>
          <w:sz w:val="24"/>
          <w:szCs w:val="24"/>
        </w:rPr>
        <w:t>astāvot dažādiem tiesnešu, juristu</w:t>
      </w:r>
      <w:r w:rsidR="00647115">
        <w:rPr>
          <w:rFonts w:ascii="Times New Roman" w:hAnsi="Times New Roman"/>
          <w:color w:val="000000"/>
          <w:w w:val="104"/>
          <w:sz w:val="24"/>
          <w:szCs w:val="24"/>
        </w:rPr>
        <w:t xml:space="preserve"> un citu speciālistu </w:t>
      </w:r>
      <w:r w:rsidR="003650E9">
        <w:rPr>
          <w:rFonts w:ascii="Times New Roman" w:hAnsi="Times New Roman"/>
          <w:color w:val="000000"/>
          <w:w w:val="104"/>
          <w:sz w:val="24"/>
          <w:szCs w:val="24"/>
        </w:rPr>
        <w:t>viedokļiem</w:t>
      </w:r>
      <w:r w:rsidR="00647115">
        <w:rPr>
          <w:rFonts w:ascii="Times New Roman" w:hAnsi="Times New Roman"/>
          <w:color w:val="000000"/>
          <w:w w:val="104"/>
          <w:sz w:val="24"/>
          <w:szCs w:val="24"/>
        </w:rPr>
        <w:t xml:space="preserve"> un diskusijām jautājumā par </w:t>
      </w:r>
      <w:r w:rsidR="00641A88">
        <w:rPr>
          <w:rFonts w:ascii="Times New Roman" w:hAnsi="Times New Roman"/>
          <w:color w:val="000000"/>
          <w:w w:val="104"/>
          <w:sz w:val="24"/>
          <w:szCs w:val="24"/>
        </w:rPr>
        <w:t xml:space="preserve">to, vai </w:t>
      </w:r>
      <w:r w:rsidR="00647115">
        <w:rPr>
          <w:rFonts w:ascii="Times New Roman" w:hAnsi="Times New Roman"/>
          <w:color w:val="000000"/>
          <w:w w:val="104"/>
          <w:sz w:val="24"/>
          <w:szCs w:val="24"/>
        </w:rPr>
        <w:t>administratīvā imunitāte</w:t>
      </w:r>
      <w:r w:rsidR="000139E8">
        <w:rPr>
          <w:rFonts w:ascii="Times New Roman" w:hAnsi="Times New Roman"/>
          <w:color w:val="000000"/>
          <w:w w:val="104"/>
          <w:sz w:val="24"/>
          <w:szCs w:val="24"/>
        </w:rPr>
        <w:t xml:space="preserve"> ir saglabājama</w:t>
      </w:r>
      <w:r w:rsidR="002745FF">
        <w:rPr>
          <w:rFonts w:ascii="Times New Roman" w:hAnsi="Times New Roman"/>
          <w:color w:val="000000"/>
          <w:w w:val="104"/>
          <w:sz w:val="24"/>
          <w:szCs w:val="24"/>
        </w:rPr>
        <w:t xml:space="preserve">, </w:t>
      </w:r>
      <w:r w:rsidR="00EC16EB">
        <w:rPr>
          <w:rFonts w:ascii="Times New Roman" w:hAnsi="Times New Roman"/>
          <w:color w:val="000000"/>
          <w:w w:val="104"/>
          <w:sz w:val="24"/>
          <w:szCs w:val="24"/>
        </w:rPr>
        <w:t xml:space="preserve">Tiesnešu ētikas komisija atzīst, ka ir nepieciešams aktualizēt jautājumu par atteikšanos no šāda regulējuma, veidojot </w:t>
      </w:r>
      <w:r w:rsidR="003F3F8A" w:rsidRPr="00CC6059">
        <w:rPr>
          <w:rFonts w:ascii="Times New Roman" w:hAnsi="Times New Roman"/>
          <w:color w:val="000000"/>
          <w:w w:val="104"/>
          <w:sz w:val="24"/>
          <w:szCs w:val="24"/>
        </w:rPr>
        <w:t>mūsdien</w:t>
      </w:r>
      <w:r w:rsidR="00082569">
        <w:rPr>
          <w:rFonts w:ascii="Times New Roman" w:hAnsi="Times New Roman"/>
          <w:color w:val="000000"/>
          <w:w w:val="104"/>
          <w:sz w:val="24"/>
          <w:szCs w:val="24"/>
        </w:rPr>
        <w:t xml:space="preserve">ām </w:t>
      </w:r>
      <w:r w:rsidR="003F3F8A" w:rsidRPr="00CC6059">
        <w:rPr>
          <w:rFonts w:ascii="Times New Roman" w:hAnsi="Times New Roman"/>
          <w:color w:val="000000"/>
          <w:w w:val="104"/>
          <w:sz w:val="24"/>
          <w:szCs w:val="24"/>
        </w:rPr>
        <w:t>atbilstošu tiesisko regulējumu.</w:t>
      </w:r>
    </w:p>
    <w:p w14:paraId="1FACA647" w14:textId="77777777" w:rsidR="00082569" w:rsidRDefault="00082569" w:rsidP="00700AB0">
      <w:pPr>
        <w:ind w:firstLine="720"/>
        <w:jc w:val="both"/>
        <w:rPr>
          <w:rFonts w:ascii="Times New Roman" w:eastAsia="Times New Roman" w:hAnsi="Times New Roman"/>
          <w:sz w:val="24"/>
          <w:szCs w:val="24"/>
        </w:rPr>
      </w:pPr>
    </w:p>
    <w:p w14:paraId="73274DA6" w14:textId="407A1BBA" w:rsidR="00700AB0" w:rsidRDefault="00641A88" w:rsidP="00700AB0">
      <w:pPr>
        <w:ind w:firstLine="720"/>
        <w:jc w:val="both"/>
        <w:rPr>
          <w:rFonts w:ascii="Times New Roman" w:eastAsia="Times New Roman" w:hAnsi="Times New Roman"/>
          <w:sz w:val="24"/>
          <w:szCs w:val="24"/>
        </w:rPr>
      </w:pPr>
      <w:r>
        <w:rPr>
          <w:rFonts w:ascii="Times New Roman" w:eastAsia="Times New Roman" w:hAnsi="Times New Roman"/>
          <w:sz w:val="24"/>
          <w:szCs w:val="24"/>
        </w:rPr>
        <w:t>Ievērojot iepriekš teikto</w:t>
      </w:r>
      <w:r w:rsidR="00700AB0" w:rsidRPr="00700AB0">
        <w:rPr>
          <w:rFonts w:ascii="Times New Roman" w:eastAsia="Times New Roman" w:hAnsi="Times New Roman"/>
          <w:sz w:val="24"/>
          <w:szCs w:val="24"/>
        </w:rPr>
        <w:t xml:space="preserve">, Tiesnešu ētikas komisija </w:t>
      </w:r>
      <w:r>
        <w:rPr>
          <w:rFonts w:ascii="Times New Roman" w:eastAsia="Times New Roman" w:hAnsi="Times New Roman"/>
          <w:sz w:val="24"/>
          <w:szCs w:val="24"/>
        </w:rPr>
        <w:t>izskaidro</w:t>
      </w:r>
      <w:r w:rsidR="00700AB0" w:rsidRPr="00700AB0">
        <w:rPr>
          <w:rFonts w:ascii="Times New Roman" w:eastAsia="Times New Roman" w:hAnsi="Times New Roman"/>
          <w:sz w:val="24"/>
          <w:szCs w:val="24"/>
        </w:rPr>
        <w:t>:</w:t>
      </w:r>
    </w:p>
    <w:p w14:paraId="5C974F56" w14:textId="15BE362D" w:rsidR="00CC6059" w:rsidRDefault="00641A88" w:rsidP="00CC6059">
      <w:pPr>
        <w:spacing w:line="360" w:lineRule="auto"/>
        <w:ind w:firstLine="720"/>
        <w:jc w:val="both"/>
        <w:rPr>
          <w:rFonts w:ascii="Times New Roman" w:hAnsi="Times New Roman"/>
          <w:color w:val="000000"/>
          <w:w w:val="104"/>
          <w:sz w:val="24"/>
          <w:szCs w:val="24"/>
        </w:rPr>
      </w:pPr>
      <w:r>
        <w:rPr>
          <w:rFonts w:ascii="Times New Roman" w:eastAsia="Times New Roman" w:hAnsi="Times New Roman"/>
          <w:sz w:val="24"/>
          <w:szCs w:val="24"/>
        </w:rPr>
        <w:t>T</w:t>
      </w:r>
      <w:r w:rsidR="00700AB0" w:rsidRPr="00700AB0">
        <w:rPr>
          <w:rFonts w:ascii="Times New Roman" w:eastAsia="Times New Roman" w:hAnsi="Times New Roman"/>
          <w:sz w:val="24"/>
          <w:szCs w:val="24"/>
        </w:rPr>
        <w:t xml:space="preserve">iesnesim </w:t>
      </w:r>
      <w:r w:rsidR="00700AB0">
        <w:rPr>
          <w:rFonts w:ascii="Times New Roman" w:eastAsia="Times New Roman" w:hAnsi="Times New Roman"/>
          <w:sz w:val="24"/>
          <w:szCs w:val="24"/>
        </w:rPr>
        <w:t xml:space="preserve">nav ļauts </w:t>
      </w:r>
      <w:r>
        <w:rPr>
          <w:rFonts w:ascii="Times New Roman" w:eastAsia="Times New Roman" w:hAnsi="Times New Roman"/>
          <w:sz w:val="24"/>
          <w:szCs w:val="24"/>
        </w:rPr>
        <w:t xml:space="preserve">izvēlēties izmantot vai neizmantot administratīvo imunitāti un </w:t>
      </w:r>
      <w:r>
        <w:rPr>
          <w:rFonts w:ascii="Times New Roman" w:hAnsi="Times New Roman"/>
          <w:color w:val="000000"/>
          <w:w w:val="104"/>
          <w:sz w:val="24"/>
          <w:szCs w:val="24"/>
        </w:rPr>
        <w:t>administratīvā pārkāpuma gadījumā</w:t>
      </w:r>
      <w:r w:rsidR="00097F1D">
        <w:rPr>
          <w:rFonts w:ascii="Times New Roman" w:hAnsi="Times New Roman"/>
          <w:color w:val="000000"/>
          <w:w w:val="104"/>
          <w:sz w:val="24"/>
          <w:szCs w:val="24"/>
        </w:rPr>
        <w:t xml:space="preserve"> ir</w:t>
      </w:r>
      <w:r w:rsidR="00700AB0" w:rsidRPr="00700AB0">
        <w:rPr>
          <w:rFonts w:ascii="Times New Roman" w:hAnsi="Times New Roman"/>
          <w:color w:val="000000"/>
          <w:w w:val="104"/>
          <w:sz w:val="24"/>
          <w:szCs w:val="24"/>
        </w:rPr>
        <w:t xml:space="preserve"> jāinformē par ieņemamo amatu, par to, ka tiesnesim nevar piemērot administratīvo sodu un ka tiesnesi nedrīkst aizturēt administratīvā kārtībā.</w:t>
      </w:r>
    </w:p>
    <w:p w14:paraId="561E5586" w14:textId="77777777" w:rsidR="000139E8" w:rsidRDefault="000139E8" w:rsidP="00C95CAC">
      <w:pPr>
        <w:tabs>
          <w:tab w:val="left" w:pos="6521"/>
        </w:tabs>
        <w:spacing w:after="0" w:line="360" w:lineRule="auto"/>
        <w:jc w:val="both"/>
        <w:rPr>
          <w:rFonts w:ascii="Times New Roman" w:hAnsi="Times New Roman"/>
          <w:sz w:val="24"/>
          <w:szCs w:val="24"/>
        </w:rPr>
      </w:pPr>
    </w:p>
    <w:p w14:paraId="526E5829" w14:textId="4D3B7402"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Komisijas priekšsēdētāj</w:t>
      </w:r>
      <w:r>
        <w:rPr>
          <w:rFonts w:ascii="Times New Roman" w:hAnsi="Times New Roman"/>
          <w:sz w:val="24"/>
          <w:szCs w:val="24"/>
        </w:rPr>
        <w:t>a</w:t>
      </w:r>
      <w:r w:rsidRPr="00834768">
        <w:rPr>
          <w:rFonts w:ascii="Times New Roman" w:hAnsi="Times New Roman"/>
          <w:sz w:val="24"/>
          <w:szCs w:val="24"/>
        </w:rPr>
        <w:t xml:space="preserve"> </w:t>
      </w:r>
      <w:r w:rsidRPr="00834768">
        <w:rPr>
          <w:rFonts w:ascii="Times New Roman" w:hAnsi="Times New Roman"/>
          <w:sz w:val="24"/>
          <w:szCs w:val="24"/>
        </w:rPr>
        <w:tab/>
        <w:t>Anita Kovaļevska</w:t>
      </w:r>
    </w:p>
    <w:p w14:paraId="1D0D5D10"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Komisijas locekļi</w:t>
      </w:r>
      <w:r w:rsidRPr="00834768">
        <w:rPr>
          <w:rFonts w:ascii="Times New Roman" w:hAnsi="Times New Roman"/>
          <w:sz w:val="24"/>
          <w:szCs w:val="24"/>
        </w:rPr>
        <w:tab/>
        <w:t>Dzintra Amerika</w:t>
      </w:r>
    </w:p>
    <w:p w14:paraId="3F42AD9B"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t>Madara Ābele</w:t>
      </w:r>
    </w:p>
    <w:p w14:paraId="47D737E5"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r>
      <w:bookmarkStart w:id="0" w:name="_GoBack"/>
      <w:bookmarkEnd w:id="0"/>
      <w:r w:rsidRPr="00834768">
        <w:rPr>
          <w:rFonts w:ascii="Times New Roman" w:hAnsi="Times New Roman"/>
          <w:sz w:val="24"/>
          <w:szCs w:val="24"/>
        </w:rPr>
        <w:t>Ināra Jaunzeme</w:t>
      </w:r>
    </w:p>
    <w:p w14:paraId="4ECEE219"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t>Baiba Lielpētere</w:t>
      </w:r>
    </w:p>
    <w:p w14:paraId="215EA16D"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t>Guntars Ploriņš</w:t>
      </w:r>
    </w:p>
    <w:p w14:paraId="76D5ADA3"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t>Normunds Salenieks</w:t>
      </w:r>
    </w:p>
    <w:p w14:paraId="237EB55E" w14:textId="77777777" w:rsidR="00834768" w:rsidRPr="00834768"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t>Dace Skrauple</w:t>
      </w:r>
    </w:p>
    <w:p w14:paraId="4B6E2C7B" w14:textId="64C7174B" w:rsidR="006918EF" w:rsidRDefault="00834768" w:rsidP="00834768">
      <w:pPr>
        <w:tabs>
          <w:tab w:val="left" w:pos="6521"/>
        </w:tabs>
        <w:spacing w:after="0" w:line="360" w:lineRule="auto"/>
        <w:jc w:val="both"/>
        <w:rPr>
          <w:rFonts w:ascii="Times New Roman" w:hAnsi="Times New Roman"/>
          <w:sz w:val="24"/>
          <w:szCs w:val="24"/>
        </w:rPr>
      </w:pPr>
      <w:r w:rsidRPr="00834768">
        <w:rPr>
          <w:rFonts w:ascii="Times New Roman" w:hAnsi="Times New Roman"/>
          <w:sz w:val="24"/>
          <w:szCs w:val="24"/>
        </w:rPr>
        <w:tab/>
        <w:t>Alla Šilova</w:t>
      </w:r>
    </w:p>
    <w:sectPr w:rsidR="006918EF" w:rsidSect="00F62747">
      <w:footerReference w:type="default" r:id="rId7"/>
      <w:pgSz w:w="11906" w:h="16838"/>
      <w:pgMar w:top="1134" w:right="1134" w:bottom="1134" w:left="1701" w:header="130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DBA7C" w14:textId="77777777" w:rsidR="00DF45F2" w:rsidRDefault="00DF45F2" w:rsidP="00DC297E">
      <w:pPr>
        <w:spacing w:after="0" w:line="240" w:lineRule="auto"/>
      </w:pPr>
      <w:r>
        <w:separator/>
      </w:r>
    </w:p>
  </w:endnote>
  <w:endnote w:type="continuationSeparator" w:id="0">
    <w:p w14:paraId="6C8B654E" w14:textId="77777777" w:rsidR="00DF45F2" w:rsidRDefault="00DF45F2" w:rsidP="00DC2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3211755"/>
      <w:docPartObj>
        <w:docPartGallery w:val="Page Numbers (Bottom of Page)"/>
        <w:docPartUnique/>
      </w:docPartObj>
    </w:sdtPr>
    <w:sdtEndPr>
      <w:rPr>
        <w:rFonts w:ascii="Times New Roman" w:hAnsi="Times New Roman"/>
      </w:rPr>
    </w:sdtEndPr>
    <w:sdtContent>
      <w:p w14:paraId="38C72AB5" w14:textId="5B884D52" w:rsidR="00F62747" w:rsidRPr="00F62747" w:rsidRDefault="00F62747">
        <w:pPr>
          <w:pStyle w:val="Kjene"/>
          <w:jc w:val="center"/>
          <w:rPr>
            <w:rFonts w:ascii="Times New Roman" w:hAnsi="Times New Roman"/>
          </w:rPr>
        </w:pPr>
        <w:r w:rsidRPr="00F62747">
          <w:rPr>
            <w:rFonts w:ascii="Times New Roman" w:hAnsi="Times New Roman"/>
          </w:rPr>
          <w:fldChar w:fldCharType="begin"/>
        </w:r>
        <w:r w:rsidRPr="00F62747">
          <w:rPr>
            <w:rFonts w:ascii="Times New Roman" w:hAnsi="Times New Roman"/>
          </w:rPr>
          <w:instrText>PAGE   \* MERGEFORMAT</w:instrText>
        </w:r>
        <w:r w:rsidRPr="00F62747">
          <w:rPr>
            <w:rFonts w:ascii="Times New Roman" w:hAnsi="Times New Roman"/>
          </w:rPr>
          <w:fldChar w:fldCharType="separate"/>
        </w:r>
        <w:r w:rsidR="006B33DA">
          <w:rPr>
            <w:rFonts w:ascii="Times New Roman" w:hAnsi="Times New Roman"/>
            <w:noProof/>
          </w:rPr>
          <w:t>2</w:t>
        </w:r>
        <w:r w:rsidRPr="00F62747">
          <w:rPr>
            <w:rFonts w:ascii="Times New Roman" w:hAnsi="Times New Roman"/>
          </w:rPr>
          <w:fldChar w:fldCharType="end"/>
        </w:r>
      </w:p>
    </w:sdtContent>
  </w:sdt>
  <w:p w14:paraId="3A2427AA" w14:textId="77777777" w:rsidR="00DC297E" w:rsidRDefault="00DC29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D79EC" w14:textId="77777777" w:rsidR="00DF45F2" w:rsidRDefault="00DF45F2" w:rsidP="00DC297E">
      <w:pPr>
        <w:spacing w:after="0" w:line="240" w:lineRule="auto"/>
      </w:pPr>
      <w:r>
        <w:separator/>
      </w:r>
    </w:p>
  </w:footnote>
  <w:footnote w:type="continuationSeparator" w:id="0">
    <w:p w14:paraId="2ABD62FD" w14:textId="77777777" w:rsidR="00DF45F2" w:rsidRDefault="00DF45F2" w:rsidP="00DC297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BC"/>
    <w:rsid w:val="000139E8"/>
    <w:rsid w:val="00033A56"/>
    <w:rsid w:val="000520D6"/>
    <w:rsid w:val="00071B3E"/>
    <w:rsid w:val="000722F1"/>
    <w:rsid w:val="00082569"/>
    <w:rsid w:val="00090C01"/>
    <w:rsid w:val="00097F1D"/>
    <w:rsid w:val="000C29E3"/>
    <w:rsid w:val="000E45AE"/>
    <w:rsid w:val="00131454"/>
    <w:rsid w:val="00197939"/>
    <w:rsid w:val="001B020D"/>
    <w:rsid w:val="001B4590"/>
    <w:rsid w:val="001C166F"/>
    <w:rsid w:val="001C2E97"/>
    <w:rsid w:val="001C3F60"/>
    <w:rsid w:val="001D1EEE"/>
    <w:rsid w:val="001D7BFE"/>
    <w:rsid w:val="002047B8"/>
    <w:rsid w:val="0022204E"/>
    <w:rsid w:val="00230394"/>
    <w:rsid w:val="002343AA"/>
    <w:rsid w:val="0025713F"/>
    <w:rsid w:val="00267971"/>
    <w:rsid w:val="002745FF"/>
    <w:rsid w:val="00285569"/>
    <w:rsid w:val="00290982"/>
    <w:rsid w:val="00291E0C"/>
    <w:rsid w:val="00291EE8"/>
    <w:rsid w:val="002B5819"/>
    <w:rsid w:val="002C29E2"/>
    <w:rsid w:val="002E373A"/>
    <w:rsid w:val="002F0D98"/>
    <w:rsid w:val="00302CDE"/>
    <w:rsid w:val="0030444B"/>
    <w:rsid w:val="00315D61"/>
    <w:rsid w:val="003170BD"/>
    <w:rsid w:val="00337CFC"/>
    <w:rsid w:val="003552A6"/>
    <w:rsid w:val="0036293D"/>
    <w:rsid w:val="00362FDE"/>
    <w:rsid w:val="003650E9"/>
    <w:rsid w:val="00377A85"/>
    <w:rsid w:val="00390E16"/>
    <w:rsid w:val="00397596"/>
    <w:rsid w:val="003B003C"/>
    <w:rsid w:val="003E00E9"/>
    <w:rsid w:val="003F1D0C"/>
    <w:rsid w:val="003F3F8A"/>
    <w:rsid w:val="003F56DF"/>
    <w:rsid w:val="00430904"/>
    <w:rsid w:val="00446ACF"/>
    <w:rsid w:val="00461BE9"/>
    <w:rsid w:val="004A1A02"/>
    <w:rsid w:val="004B0D06"/>
    <w:rsid w:val="004C1E01"/>
    <w:rsid w:val="004C5105"/>
    <w:rsid w:val="004D49B3"/>
    <w:rsid w:val="004D6531"/>
    <w:rsid w:val="00510EB4"/>
    <w:rsid w:val="005179A2"/>
    <w:rsid w:val="00540383"/>
    <w:rsid w:val="00561C89"/>
    <w:rsid w:val="00563A4B"/>
    <w:rsid w:val="0056706D"/>
    <w:rsid w:val="00576897"/>
    <w:rsid w:val="00583925"/>
    <w:rsid w:val="005A3202"/>
    <w:rsid w:val="005A33BC"/>
    <w:rsid w:val="005B6E34"/>
    <w:rsid w:val="005C6B92"/>
    <w:rsid w:val="005C7E89"/>
    <w:rsid w:val="005D1932"/>
    <w:rsid w:val="005E2BF2"/>
    <w:rsid w:val="005E7F80"/>
    <w:rsid w:val="0061070A"/>
    <w:rsid w:val="00613045"/>
    <w:rsid w:val="00641A88"/>
    <w:rsid w:val="00647115"/>
    <w:rsid w:val="006528A7"/>
    <w:rsid w:val="00672542"/>
    <w:rsid w:val="006918EF"/>
    <w:rsid w:val="006B33DA"/>
    <w:rsid w:val="006B40B9"/>
    <w:rsid w:val="006B6957"/>
    <w:rsid w:val="006B7E62"/>
    <w:rsid w:val="006D5031"/>
    <w:rsid w:val="006D6A7F"/>
    <w:rsid w:val="006F0128"/>
    <w:rsid w:val="00700AB0"/>
    <w:rsid w:val="007031D1"/>
    <w:rsid w:val="00723BA0"/>
    <w:rsid w:val="0073106F"/>
    <w:rsid w:val="00732704"/>
    <w:rsid w:val="00751A54"/>
    <w:rsid w:val="00752637"/>
    <w:rsid w:val="00764D98"/>
    <w:rsid w:val="00796CF7"/>
    <w:rsid w:val="007B048E"/>
    <w:rsid w:val="007B0793"/>
    <w:rsid w:val="007B1FB8"/>
    <w:rsid w:val="007D277F"/>
    <w:rsid w:val="007E0E02"/>
    <w:rsid w:val="007E5A5D"/>
    <w:rsid w:val="007E7B53"/>
    <w:rsid w:val="00812A01"/>
    <w:rsid w:val="00834768"/>
    <w:rsid w:val="00851D84"/>
    <w:rsid w:val="008559E6"/>
    <w:rsid w:val="00877DAB"/>
    <w:rsid w:val="00893C16"/>
    <w:rsid w:val="008A7518"/>
    <w:rsid w:val="008A75E9"/>
    <w:rsid w:val="008B148E"/>
    <w:rsid w:val="008B75EC"/>
    <w:rsid w:val="008C0347"/>
    <w:rsid w:val="008E14F8"/>
    <w:rsid w:val="00920B73"/>
    <w:rsid w:val="00923174"/>
    <w:rsid w:val="009319DE"/>
    <w:rsid w:val="0093673A"/>
    <w:rsid w:val="009501BE"/>
    <w:rsid w:val="009512CE"/>
    <w:rsid w:val="009520B5"/>
    <w:rsid w:val="00953688"/>
    <w:rsid w:val="00965E5C"/>
    <w:rsid w:val="009854AE"/>
    <w:rsid w:val="009A1CD3"/>
    <w:rsid w:val="009A2617"/>
    <w:rsid w:val="009B5B06"/>
    <w:rsid w:val="00A11404"/>
    <w:rsid w:val="00A258AB"/>
    <w:rsid w:val="00A27280"/>
    <w:rsid w:val="00A5015D"/>
    <w:rsid w:val="00A51113"/>
    <w:rsid w:val="00A64AC7"/>
    <w:rsid w:val="00A743E7"/>
    <w:rsid w:val="00A95114"/>
    <w:rsid w:val="00AD5482"/>
    <w:rsid w:val="00AD5D41"/>
    <w:rsid w:val="00B000FC"/>
    <w:rsid w:val="00B00C69"/>
    <w:rsid w:val="00B16D42"/>
    <w:rsid w:val="00B24F7F"/>
    <w:rsid w:val="00B47452"/>
    <w:rsid w:val="00B6138C"/>
    <w:rsid w:val="00B62938"/>
    <w:rsid w:val="00BA2A43"/>
    <w:rsid w:val="00BD7CCE"/>
    <w:rsid w:val="00BE657A"/>
    <w:rsid w:val="00BF2196"/>
    <w:rsid w:val="00C17C9B"/>
    <w:rsid w:val="00C21D65"/>
    <w:rsid w:val="00C34BFC"/>
    <w:rsid w:val="00C742DE"/>
    <w:rsid w:val="00C9074A"/>
    <w:rsid w:val="00C94FB8"/>
    <w:rsid w:val="00C95CAC"/>
    <w:rsid w:val="00CA16AE"/>
    <w:rsid w:val="00CC3F2D"/>
    <w:rsid w:val="00CC6059"/>
    <w:rsid w:val="00CE0ADB"/>
    <w:rsid w:val="00CE0FE2"/>
    <w:rsid w:val="00D02D4A"/>
    <w:rsid w:val="00D054FB"/>
    <w:rsid w:val="00D07C1E"/>
    <w:rsid w:val="00D25BE6"/>
    <w:rsid w:val="00D305D0"/>
    <w:rsid w:val="00D36209"/>
    <w:rsid w:val="00D43C6E"/>
    <w:rsid w:val="00D96412"/>
    <w:rsid w:val="00DA5C32"/>
    <w:rsid w:val="00DC0457"/>
    <w:rsid w:val="00DC2698"/>
    <w:rsid w:val="00DC297E"/>
    <w:rsid w:val="00DD7EAF"/>
    <w:rsid w:val="00DF45F2"/>
    <w:rsid w:val="00DF7460"/>
    <w:rsid w:val="00E050EA"/>
    <w:rsid w:val="00E1027F"/>
    <w:rsid w:val="00E227C1"/>
    <w:rsid w:val="00E2310D"/>
    <w:rsid w:val="00E4440E"/>
    <w:rsid w:val="00E80381"/>
    <w:rsid w:val="00E806EC"/>
    <w:rsid w:val="00EC16EB"/>
    <w:rsid w:val="00EC363F"/>
    <w:rsid w:val="00ED3FAC"/>
    <w:rsid w:val="00EE7032"/>
    <w:rsid w:val="00EF2EE5"/>
    <w:rsid w:val="00F14C79"/>
    <w:rsid w:val="00F21D24"/>
    <w:rsid w:val="00F41536"/>
    <w:rsid w:val="00F44C60"/>
    <w:rsid w:val="00F5181D"/>
    <w:rsid w:val="00F62747"/>
    <w:rsid w:val="00F66649"/>
    <w:rsid w:val="00F67F14"/>
    <w:rsid w:val="00F71A69"/>
    <w:rsid w:val="00F9075B"/>
    <w:rsid w:val="00FB197F"/>
    <w:rsid w:val="00FB5638"/>
    <w:rsid w:val="00FD096E"/>
    <w:rsid w:val="00FE31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5A9FE"/>
  <w15:chartTrackingRefBased/>
  <w15:docId w15:val="{1945342D-29E1-4331-83C8-424CEB74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5A33BC"/>
    <w:pPr>
      <w:spacing w:after="200" w:line="276" w:lineRule="auto"/>
    </w:pPr>
    <w:rPr>
      <w:rFonts w:ascii="Calibri" w:eastAsia="Calibri" w:hAnsi="Calibri" w:cs="Times New Roman"/>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5A33BC"/>
    <w:pPr>
      <w:spacing w:after="0" w:line="240" w:lineRule="auto"/>
    </w:pPr>
    <w:rPr>
      <w:rFonts w:ascii="Calibri" w:eastAsia="Calibri" w:hAnsi="Calibri" w:cs="Times New Roman"/>
      <w:sz w:val="22"/>
    </w:rPr>
  </w:style>
  <w:style w:type="paragraph" w:styleId="Pamattekstsaratkpi">
    <w:name w:val="Body Text Indent"/>
    <w:basedOn w:val="Parasts"/>
    <w:link w:val="PamattekstsaratkpiRakstz"/>
    <w:uiPriority w:val="99"/>
    <w:rsid w:val="00F71A69"/>
    <w:pPr>
      <w:spacing w:after="0" w:line="360" w:lineRule="auto"/>
      <w:ind w:firstLine="720"/>
      <w:jc w:val="both"/>
    </w:pPr>
    <w:rPr>
      <w:rFonts w:ascii="Times New Roman" w:eastAsia="Times New Roman" w:hAnsi="Times New Roman"/>
      <w:sz w:val="28"/>
      <w:szCs w:val="20"/>
      <w:lang w:eastAsia="lv-LV"/>
    </w:rPr>
  </w:style>
  <w:style w:type="character" w:customStyle="1" w:styleId="PamattekstsaratkpiRakstz">
    <w:name w:val="Pamatteksts ar atkāpi Rakstz."/>
    <w:basedOn w:val="Noklusjumarindkopasfonts"/>
    <w:link w:val="Pamattekstsaratkpi"/>
    <w:uiPriority w:val="99"/>
    <w:rsid w:val="00F71A69"/>
    <w:rPr>
      <w:rFonts w:eastAsia="Times New Roman" w:cs="Times New Roman"/>
      <w:sz w:val="28"/>
      <w:szCs w:val="20"/>
      <w:lang w:eastAsia="lv-LV"/>
    </w:rPr>
  </w:style>
  <w:style w:type="paragraph" w:styleId="Paraststmeklis">
    <w:name w:val="Normal (Web)"/>
    <w:basedOn w:val="Parasts"/>
    <w:uiPriority w:val="99"/>
    <w:semiHidden/>
    <w:unhideWhenUsed/>
    <w:rsid w:val="005A3202"/>
    <w:pPr>
      <w:spacing w:before="100" w:beforeAutospacing="1" w:after="100" w:afterAutospacing="1" w:line="240" w:lineRule="auto"/>
    </w:pPr>
    <w:rPr>
      <w:rFonts w:ascii="Times New Roman" w:eastAsia="Times New Roman" w:hAnsi="Times New Roman"/>
      <w:sz w:val="24"/>
      <w:szCs w:val="24"/>
      <w:lang w:eastAsia="lv-LV"/>
    </w:rPr>
  </w:style>
  <w:style w:type="paragraph" w:styleId="Balonteksts">
    <w:name w:val="Balloon Text"/>
    <w:basedOn w:val="Parasts"/>
    <w:link w:val="BalontekstsRakstz"/>
    <w:uiPriority w:val="99"/>
    <w:semiHidden/>
    <w:unhideWhenUsed/>
    <w:rsid w:val="00DC297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C297E"/>
    <w:rPr>
      <w:rFonts w:ascii="Segoe UI" w:eastAsia="Calibri" w:hAnsi="Segoe UI" w:cs="Segoe UI"/>
      <w:sz w:val="18"/>
      <w:szCs w:val="18"/>
    </w:rPr>
  </w:style>
  <w:style w:type="paragraph" w:styleId="Galvene">
    <w:name w:val="header"/>
    <w:basedOn w:val="Parasts"/>
    <w:link w:val="GalveneRakstz"/>
    <w:uiPriority w:val="99"/>
    <w:unhideWhenUsed/>
    <w:rsid w:val="00DC29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C297E"/>
    <w:rPr>
      <w:rFonts w:ascii="Calibri" w:eastAsia="Calibri" w:hAnsi="Calibri" w:cs="Times New Roman"/>
      <w:sz w:val="22"/>
    </w:rPr>
  </w:style>
  <w:style w:type="paragraph" w:styleId="Kjene">
    <w:name w:val="footer"/>
    <w:basedOn w:val="Parasts"/>
    <w:link w:val="KjeneRakstz"/>
    <w:uiPriority w:val="99"/>
    <w:unhideWhenUsed/>
    <w:rsid w:val="00DC29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C297E"/>
    <w:rPr>
      <w:rFonts w:ascii="Calibri" w:eastAsia="Calibri" w:hAnsi="Calibri" w:cs="Times New Roman"/>
      <w:sz w:val="22"/>
    </w:rPr>
  </w:style>
  <w:style w:type="character" w:styleId="Komentraatsauce">
    <w:name w:val="annotation reference"/>
    <w:basedOn w:val="Noklusjumarindkopasfonts"/>
    <w:uiPriority w:val="99"/>
    <w:semiHidden/>
    <w:unhideWhenUsed/>
    <w:rsid w:val="00A5015D"/>
    <w:rPr>
      <w:sz w:val="16"/>
      <w:szCs w:val="16"/>
    </w:rPr>
  </w:style>
  <w:style w:type="paragraph" w:styleId="Komentrateksts">
    <w:name w:val="annotation text"/>
    <w:basedOn w:val="Parasts"/>
    <w:link w:val="KomentratekstsRakstz"/>
    <w:uiPriority w:val="99"/>
    <w:unhideWhenUsed/>
    <w:rsid w:val="00A5015D"/>
    <w:pPr>
      <w:spacing w:line="240" w:lineRule="auto"/>
    </w:pPr>
    <w:rPr>
      <w:sz w:val="20"/>
      <w:szCs w:val="20"/>
    </w:rPr>
  </w:style>
  <w:style w:type="character" w:customStyle="1" w:styleId="KomentratekstsRakstz">
    <w:name w:val="Komentāra teksts Rakstz."/>
    <w:basedOn w:val="Noklusjumarindkopasfonts"/>
    <w:link w:val="Komentrateksts"/>
    <w:uiPriority w:val="99"/>
    <w:rsid w:val="00A5015D"/>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A5015D"/>
    <w:rPr>
      <w:b/>
      <w:bCs/>
    </w:rPr>
  </w:style>
  <w:style w:type="character" w:customStyle="1" w:styleId="KomentratmaRakstz">
    <w:name w:val="Komentāra tēma Rakstz."/>
    <w:basedOn w:val="KomentratekstsRakstz"/>
    <w:link w:val="Komentratma"/>
    <w:uiPriority w:val="99"/>
    <w:semiHidden/>
    <w:rsid w:val="00A5015D"/>
    <w:rPr>
      <w:rFonts w:ascii="Calibri" w:eastAsia="Calibri" w:hAnsi="Calibri" w:cs="Times New Roman"/>
      <w:b/>
      <w:bCs/>
      <w:sz w:val="20"/>
      <w:szCs w:val="20"/>
    </w:rPr>
  </w:style>
  <w:style w:type="character" w:styleId="Hipersaite">
    <w:name w:val="Hyperlink"/>
    <w:basedOn w:val="Noklusjumarindkopasfonts"/>
    <w:uiPriority w:val="99"/>
    <w:unhideWhenUsed/>
    <w:rsid w:val="00FD096E"/>
    <w:rPr>
      <w:color w:val="0563C1" w:themeColor="hyperlink"/>
      <w:u w:val="single"/>
    </w:rPr>
  </w:style>
  <w:style w:type="paragraph" w:styleId="Sarakstarindkopa">
    <w:name w:val="List Paragraph"/>
    <w:basedOn w:val="Parasts"/>
    <w:uiPriority w:val="34"/>
    <w:qFormat/>
    <w:rsid w:val="005E7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696291">
      <w:bodyDiv w:val="1"/>
      <w:marLeft w:val="0"/>
      <w:marRight w:val="0"/>
      <w:marTop w:val="0"/>
      <w:marBottom w:val="0"/>
      <w:divBdr>
        <w:top w:val="none" w:sz="0" w:space="0" w:color="auto"/>
        <w:left w:val="none" w:sz="0" w:space="0" w:color="auto"/>
        <w:bottom w:val="none" w:sz="0" w:space="0" w:color="auto"/>
        <w:right w:val="none" w:sz="0" w:space="0" w:color="auto"/>
      </w:divBdr>
    </w:div>
    <w:div w:id="1167860525">
      <w:bodyDiv w:val="1"/>
      <w:marLeft w:val="0"/>
      <w:marRight w:val="0"/>
      <w:marTop w:val="0"/>
      <w:marBottom w:val="0"/>
      <w:divBdr>
        <w:top w:val="none" w:sz="0" w:space="0" w:color="auto"/>
        <w:left w:val="none" w:sz="0" w:space="0" w:color="auto"/>
        <w:bottom w:val="none" w:sz="0" w:space="0" w:color="auto"/>
        <w:right w:val="none" w:sz="0" w:space="0" w:color="auto"/>
      </w:divBdr>
    </w:div>
    <w:div w:id="1402799754">
      <w:bodyDiv w:val="1"/>
      <w:marLeft w:val="0"/>
      <w:marRight w:val="0"/>
      <w:marTop w:val="0"/>
      <w:marBottom w:val="0"/>
      <w:divBdr>
        <w:top w:val="none" w:sz="0" w:space="0" w:color="auto"/>
        <w:left w:val="none" w:sz="0" w:space="0" w:color="auto"/>
        <w:bottom w:val="none" w:sz="0" w:space="0" w:color="auto"/>
        <w:right w:val="none" w:sz="0" w:space="0" w:color="auto"/>
      </w:divBdr>
    </w:div>
    <w:div w:id="1469085414">
      <w:bodyDiv w:val="1"/>
      <w:marLeft w:val="0"/>
      <w:marRight w:val="0"/>
      <w:marTop w:val="0"/>
      <w:marBottom w:val="0"/>
      <w:divBdr>
        <w:top w:val="none" w:sz="0" w:space="0" w:color="auto"/>
        <w:left w:val="none" w:sz="0" w:space="0" w:color="auto"/>
        <w:bottom w:val="none" w:sz="0" w:space="0" w:color="auto"/>
        <w:right w:val="none" w:sz="0" w:space="0" w:color="auto"/>
      </w:divBdr>
    </w:div>
    <w:div w:id="1945845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AD589-2CF5-452E-8E0F-C2AB5A035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2052</Words>
  <Characters>1170</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Normunds Salenieks</dc:creator>
  <cp:keywords/>
  <dc:description/>
  <cp:lastModifiedBy>Indra Kārkliņa</cp:lastModifiedBy>
  <cp:revision>8</cp:revision>
  <cp:lastPrinted>2018-04-18T10:07:00Z</cp:lastPrinted>
  <dcterms:created xsi:type="dcterms:W3CDTF">2018-04-26T15:54:00Z</dcterms:created>
  <dcterms:modified xsi:type="dcterms:W3CDTF">2018-04-27T13:23:00Z</dcterms:modified>
</cp:coreProperties>
</file>