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5C4F" w14:textId="77777777" w:rsidR="00F62747" w:rsidRPr="00F62747" w:rsidRDefault="00F62747" w:rsidP="00F62747">
      <w:pPr>
        <w:spacing w:after="0" w:line="360" w:lineRule="auto"/>
        <w:jc w:val="center"/>
        <w:rPr>
          <w:rFonts w:ascii="Times New Roman" w:hAnsi="Times New Roman"/>
          <w:b/>
          <w:sz w:val="24"/>
          <w:szCs w:val="24"/>
        </w:rPr>
      </w:pPr>
      <w:r w:rsidRPr="00F62747">
        <w:rPr>
          <w:rFonts w:ascii="Times New Roman" w:hAnsi="Times New Roman"/>
          <w:b/>
          <w:sz w:val="24"/>
          <w:szCs w:val="24"/>
        </w:rPr>
        <w:t>Tiesnešu ētikas komisija</w:t>
      </w:r>
    </w:p>
    <w:p w14:paraId="001B11D4" w14:textId="77777777" w:rsidR="00F62747" w:rsidRPr="00F62747" w:rsidRDefault="00F62747" w:rsidP="00F62747">
      <w:pPr>
        <w:spacing w:after="0" w:line="360" w:lineRule="auto"/>
        <w:jc w:val="center"/>
        <w:rPr>
          <w:rFonts w:ascii="Times New Roman" w:hAnsi="Times New Roman"/>
          <w:b/>
          <w:spacing w:val="20"/>
          <w:sz w:val="32"/>
          <w:szCs w:val="32"/>
        </w:rPr>
      </w:pPr>
      <w:r w:rsidRPr="00F62747">
        <w:rPr>
          <w:rFonts w:ascii="Times New Roman" w:hAnsi="Times New Roman"/>
          <w:b/>
          <w:spacing w:val="20"/>
          <w:sz w:val="32"/>
          <w:szCs w:val="32"/>
        </w:rPr>
        <w:t>SKAIDROJUMS</w:t>
      </w:r>
    </w:p>
    <w:p w14:paraId="3A0E281E" w14:textId="4EFA03DB" w:rsidR="006918EF" w:rsidRDefault="006918EF" w:rsidP="00F62747">
      <w:pPr>
        <w:tabs>
          <w:tab w:val="left" w:pos="7088"/>
        </w:tabs>
        <w:spacing w:after="0" w:line="360" w:lineRule="auto"/>
        <w:rPr>
          <w:rFonts w:ascii="Times New Roman" w:hAnsi="Times New Roman"/>
          <w:sz w:val="24"/>
          <w:szCs w:val="24"/>
        </w:rPr>
      </w:pPr>
      <w:r>
        <w:rPr>
          <w:rFonts w:ascii="Times New Roman" w:hAnsi="Times New Roman"/>
          <w:sz w:val="24"/>
          <w:szCs w:val="24"/>
        </w:rPr>
        <w:t>Rīgā</w:t>
      </w:r>
      <w:r>
        <w:rPr>
          <w:rFonts w:ascii="Times New Roman" w:hAnsi="Times New Roman"/>
        </w:rPr>
        <w:tab/>
      </w:r>
      <w:r>
        <w:rPr>
          <w:rFonts w:ascii="Times New Roman" w:hAnsi="Times New Roman"/>
          <w:sz w:val="24"/>
          <w:szCs w:val="24"/>
        </w:rPr>
        <w:t xml:space="preserve">2018.gada </w:t>
      </w:r>
      <w:r w:rsidR="00F62747">
        <w:rPr>
          <w:rFonts w:ascii="Times New Roman" w:hAnsi="Times New Roman"/>
          <w:sz w:val="24"/>
          <w:szCs w:val="24"/>
        </w:rPr>
        <w:t>16.martā</w:t>
      </w:r>
      <w:r>
        <w:rPr>
          <w:rFonts w:ascii="Times New Roman" w:hAnsi="Times New Roman"/>
          <w:sz w:val="24"/>
          <w:szCs w:val="24"/>
        </w:rPr>
        <w:t xml:space="preserve"> </w:t>
      </w:r>
    </w:p>
    <w:p w14:paraId="4C25CF0E" w14:textId="77777777" w:rsidR="006918EF" w:rsidRDefault="006918EF" w:rsidP="00F62747">
      <w:pPr>
        <w:spacing w:after="0" w:line="360" w:lineRule="auto"/>
        <w:rPr>
          <w:rFonts w:ascii="Times New Roman" w:hAnsi="Times New Roman"/>
          <w:sz w:val="24"/>
          <w:szCs w:val="24"/>
        </w:rPr>
      </w:pPr>
    </w:p>
    <w:p w14:paraId="618522DA" w14:textId="2CC5B49B" w:rsidR="006918EF" w:rsidRDefault="006918EF" w:rsidP="00F62747">
      <w:pPr>
        <w:spacing w:after="0" w:line="360" w:lineRule="auto"/>
        <w:jc w:val="both"/>
        <w:rPr>
          <w:rFonts w:ascii="Times New Roman" w:hAnsi="Times New Roman"/>
          <w:color w:val="000000"/>
          <w:w w:val="104"/>
          <w:sz w:val="24"/>
          <w:szCs w:val="24"/>
        </w:rPr>
      </w:pPr>
      <w:r>
        <w:rPr>
          <w:rFonts w:ascii="Times New Roman" w:hAnsi="Times New Roman"/>
          <w:sz w:val="24"/>
          <w:szCs w:val="24"/>
        </w:rPr>
        <w:tab/>
        <w:t xml:space="preserve">Tiesnešu ētikas komisija saņēmusi tiesas priekšsēdētājas iesniegumu, kurā lūgts </w:t>
      </w:r>
      <w:r>
        <w:rPr>
          <w:rFonts w:ascii="Times New Roman" w:hAnsi="Times New Roman"/>
          <w:color w:val="000000"/>
          <w:w w:val="104"/>
          <w:sz w:val="24"/>
          <w:szCs w:val="24"/>
        </w:rPr>
        <w:t xml:space="preserve">sniegt skaidrojumu, vai likuma “Par tiesu varu” 89.panta piektās daļas un Latvijas </w:t>
      </w:r>
      <w:r w:rsidR="00F62747">
        <w:rPr>
          <w:rFonts w:ascii="Times New Roman" w:hAnsi="Times New Roman"/>
          <w:color w:val="000000"/>
          <w:w w:val="104"/>
          <w:sz w:val="24"/>
          <w:szCs w:val="24"/>
        </w:rPr>
        <w:t>t</w:t>
      </w:r>
      <w:r>
        <w:rPr>
          <w:rFonts w:ascii="Times New Roman" w:hAnsi="Times New Roman"/>
          <w:color w:val="000000"/>
          <w:w w:val="104"/>
          <w:sz w:val="24"/>
          <w:szCs w:val="24"/>
        </w:rPr>
        <w:t>iesnešu ētikas kodeksa 4.kanona 1.punkta izpratnē ir saskatāms tiesneša ētikas normu pārkāpums, ja tiesnesis paralēli savu tiešo amata pienākumu pildīšanai apgūst ar tiesību zinātnēm nesaistītu izglītības programmu mācību iestādē, apmeklējot pilna laika studijas tiesas oficiālajā darba laikā, un vai šādām darbībām ir nepieciešams tiesas priekšsēdētāja saskaņojums, kā arī, vai tiesas priekšsēdētāja rīcība, saskaņojot šādu tiesneša prombūtni, atbilst tiesneša (priekšsēdētāja) profesionālajai ētikai.</w:t>
      </w:r>
    </w:p>
    <w:p w14:paraId="4B96EC12" w14:textId="77777777" w:rsidR="006918EF" w:rsidRDefault="006918EF" w:rsidP="00F62747">
      <w:pPr>
        <w:spacing w:after="0" w:line="360" w:lineRule="auto"/>
        <w:jc w:val="both"/>
        <w:rPr>
          <w:rFonts w:ascii="Times New Roman" w:hAnsi="Times New Roman"/>
          <w:sz w:val="24"/>
          <w:szCs w:val="24"/>
        </w:rPr>
      </w:pPr>
    </w:p>
    <w:p w14:paraId="77EB5770" w14:textId="4F04A6C8" w:rsidR="006918EF" w:rsidRDefault="006918EF" w:rsidP="00F62747">
      <w:pPr>
        <w:spacing w:after="0" w:line="360" w:lineRule="auto"/>
        <w:ind w:firstLine="720"/>
        <w:jc w:val="both"/>
        <w:rPr>
          <w:rFonts w:ascii="Times New Roman" w:hAnsi="Times New Roman"/>
          <w:color w:val="000000"/>
          <w:w w:val="104"/>
          <w:sz w:val="24"/>
          <w:szCs w:val="24"/>
        </w:rPr>
      </w:pPr>
      <w:r>
        <w:rPr>
          <w:rFonts w:ascii="Times New Roman" w:hAnsi="Times New Roman"/>
          <w:sz w:val="24"/>
          <w:szCs w:val="24"/>
        </w:rPr>
        <w:t xml:space="preserve">Ievērojot to, ka minētā situācija ir cieši saistīta ar jautājumu par </w:t>
      </w:r>
      <w:r w:rsidR="003552A6">
        <w:rPr>
          <w:rFonts w:ascii="Times New Roman" w:hAnsi="Times New Roman"/>
          <w:sz w:val="24"/>
          <w:szCs w:val="24"/>
        </w:rPr>
        <w:t xml:space="preserve">tādām </w:t>
      </w:r>
      <w:r>
        <w:rPr>
          <w:rFonts w:ascii="Times New Roman" w:hAnsi="Times New Roman"/>
          <w:sz w:val="24"/>
          <w:szCs w:val="24"/>
        </w:rPr>
        <w:t>tiesnešu mācībām darba laikā</w:t>
      </w:r>
      <w:r w:rsidR="007B048E">
        <w:rPr>
          <w:rFonts w:ascii="Times New Roman" w:hAnsi="Times New Roman"/>
          <w:sz w:val="24"/>
          <w:szCs w:val="24"/>
        </w:rPr>
        <w:t>, kas nav speciāli organizētas tiesnešu apmācības</w:t>
      </w:r>
      <w:r>
        <w:rPr>
          <w:rFonts w:ascii="Times New Roman" w:hAnsi="Times New Roman"/>
          <w:sz w:val="24"/>
          <w:szCs w:val="24"/>
        </w:rPr>
        <w:t>, kā arī tiesas priekšsēdētāja kompetenci attiecībā uz darba laika ievērošanas uzraudzību, Tiesnešu ētikas komisija sniedz skaidrojumu par šiem jautājumiem.</w:t>
      </w:r>
    </w:p>
    <w:p w14:paraId="1A8648EB" w14:textId="77777777" w:rsidR="006918EF" w:rsidRDefault="006918EF" w:rsidP="00F62747">
      <w:pPr>
        <w:spacing w:after="0" w:line="360" w:lineRule="auto"/>
        <w:jc w:val="both"/>
        <w:rPr>
          <w:rFonts w:ascii="Times New Roman" w:hAnsi="Times New Roman"/>
          <w:sz w:val="24"/>
          <w:szCs w:val="24"/>
        </w:rPr>
      </w:pPr>
    </w:p>
    <w:p w14:paraId="2CA82222" w14:textId="2EF50B1D" w:rsidR="006918EF" w:rsidRDefault="006918EF" w:rsidP="00F62747">
      <w:pPr>
        <w:spacing w:after="0" w:line="360" w:lineRule="auto"/>
        <w:ind w:firstLine="720"/>
        <w:jc w:val="both"/>
        <w:rPr>
          <w:rFonts w:ascii="Times New Roman" w:hAnsi="Times New Roman"/>
          <w:sz w:val="24"/>
          <w:szCs w:val="24"/>
        </w:rPr>
      </w:pPr>
      <w:r>
        <w:rPr>
          <w:rFonts w:ascii="Times New Roman" w:hAnsi="Times New Roman"/>
          <w:sz w:val="24"/>
          <w:szCs w:val="24"/>
        </w:rPr>
        <w:t>[1]</w:t>
      </w:r>
      <w:r w:rsidR="002E373A">
        <w:rPr>
          <w:rFonts w:ascii="Times New Roman" w:hAnsi="Times New Roman"/>
          <w:sz w:val="24"/>
          <w:szCs w:val="24"/>
        </w:rPr>
        <w:t> </w:t>
      </w:r>
      <w:r>
        <w:rPr>
          <w:rFonts w:ascii="Times New Roman" w:hAnsi="Times New Roman"/>
          <w:sz w:val="24"/>
          <w:szCs w:val="24"/>
        </w:rPr>
        <w:t>Tiesnesis ir valsts amatpersona, un, pildot tiesneša amata pienākumus, tiesnesis pilda valsts dienestu (</w:t>
      </w:r>
      <w:r>
        <w:rPr>
          <w:rFonts w:ascii="Times New Roman" w:hAnsi="Times New Roman"/>
          <w:i/>
          <w:sz w:val="24"/>
          <w:szCs w:val="24"/>
        </w:rPr>
        <w:t>sal. sk. Satversmes tiesas 2013.gada 10.maija sprieduma lietā Nr.2012-16-01 31.1. un 31.2.apakšpunktu un tur minēto atsauci uz tiesību doktrīnu</w:t>
      </w:r>
      <w:r>
        <w:rPr>
          <w:rFonts w:ascii="Times New Roman" w:hAnsi="Times New Roman"/>
          <w:sz w:val="24"/>
          <w:szCs w:val="24"/>
        </w:rPr>
        <w:t xml:space="preserve">). Lai arī likums “Par tiesu varu” tiešā veidā nenoteic tiesneša darba laiku, tomēr, atrodoties valsts dienestā, tiesnesis nenoliedzami ir saistīts ar noteikumiem par darba laiku tiesas iestādē. Par to, piemēram, liecina gan tiesneša veicamo pienākumu raksturs, kuru izpilde ārpus darba laika un darba vietas pamatā nebūtu iespējama (piemēram, lietu izskatīšana tiesas sēdēs), gan tas, ka tiesneša pienākumu izpilde nereti ir atkarīga no sadarbības ar tiesas darbiniekiem, kolēģiem un tiesas priekšsēdētāju, kas tādējādi prasa savstarpēji vienotu uzskatu par saskaņotu darba laiku </w:t>
      </w:r>
      <w:r>
        <w:rPr>
          <w:rFonts w:ascii="Times New Roman" w:hAnsi="Times New Roman"/>
          <w:i/>
          <w:sz w:val="24"/>
          <w:szCs w:val="24"/>
        </w:rPr>
        <w:t xml:space="preserve">(sk. </w:t>
      </w:r>
      <w:bookmarkStart w:id="0" w:name="_Hlk509485572"/>
      <w:r>
        <w:rPr>
          <w:rFonts w:ascii="Times New Roman" w:hAnsi="Times New Roman"/>
          <w:i/>
          <w:sz w:val="24"/>
          <w:szCs w:val="24"/>
        </w:rPr>
        <w:t>Tiesnešu ētikas komisijas</w:t>
      </w:r>
      <w:bookmarkEnd w:id="0"/>
      <w:r>
        <w:rPr>
          <w:rFonts w:ascii="Times New Roman" w:hAnsi="Times New Roman"/>
          <w:i/>
          <w:sz w:val="24"/>
          <w:szCs w:val="24"/>
        </w:rPr>
        <w:t xml:space="preserve"> 2016.gada 14.oktobra skaidrojumu)</w:t>
      </w:r>
      <w:r>
        <w:rPr>
          <w:rFonts w:ascii="Times New Roman" w:hAnsi="Times New Roman"/>
          <w:sz w:val="24"/>
          <w:szCs w:val="24"/>
        </w:rPr>
        <w:t xml:space="preserve">. </w:t>
      </w:r>
    </w:p>
    <w:p w14:paraId="4932461F" w14:textId="703EC475" w:rsidR="006918EF" w:rsidRDefault="006918EF" w:rsidP="00F62747">
      <w:pPr>
        <w:spacing w:after="0" w:line="360" w:lineRule="auto"/>
        <w:ind w:firstLine="720"/>
        <w:jc w:val="both"/>
        <w:rPr>
          <w:rFonts w:ascii="Times New Roman" w:hAnsi="Times New Roman"/>
          <w:sz w:val="24"/>
          <w:szCs w:val="24"/>
        </w:rPr>
      </w:pPr>
      <w:r>
        <w:rPr>
          <w:rFonts w:ascii="Times New Roman" w:hAnsi="Times New Roman"/>
          <w:sz w:val="24"/>
          <w:szCs w:val="24"/>
        </w:rPr>
        <w:t xml:space="preserve">Tiesnešu ētikas komisija jau iepriekš, skaidrojot jautājumu par lekciju lasīšanu tiesas iestādes darba laikā, ir norādījusi, ka tiesneša darbs savā būtībā ir radošs un domāšanas procesu bieži vien nevar ielikt laika rāmjos, līdz ar to prasība ievērot darba laiku attiecībā uz tiesnesi ir formāla </w:t>
      </w:r>
      <w:r>
        <w:rPr>
          <w:rFonts w:ascii="Times New Roman" w:hAnsi="Times New Roman"/>
          <w:i/>
          <w:iCs/>
          <w:sz w:val="24"/>
          <w:szCs w:val="24"/>
        </w:rPr>
        <w:t xml:space="preserve">(sk. </w:t>
      </w:r>
      <w:r w:rsidR="004D49B3" w:rsidRPr="004D49B3">
        <w:rPr>
          <w:rFonts w:ascii="Times New Roman" w:hAnsi="Times New Roman"/>
          <w:i/>
          <w:iCs/>
          <w:sz w:val="24"/>
          <w:szCs w:val="24"/>
        </w:rPr>
        <w:t xml:space="preserve">Tiesnešu ētikas komisijas </w:t>
      </w:r>
      <w:r>
        <w:rPr>
          <w:rFonts w:ascii="Times New Roman" w:hAnsi="Times New Roman"/>
          <w:i/>
          <w:iCs/>
          <w:sz w:val="24"/>
          <w:szCs w:val="24"/>
        </w:rPr>
        <w:t>2014.gada 14.februāra skaidrojumu)</w:t>
      </w:r>
      <w:r>
        <w:rPr>
          <w:rFonts w:ascii="Times New Roman" w:hAnsi="Times New Roman"/>
          <w:sz w:val="24"/>
          <w:szCs w:val="24"/>
        </w:rPr>
        <w:t xml:space="preserve">. Tāpat ir jāatzīmē, ka domāšanas process nav saistāms tikai ar vienu konkrētu vietu, proti, tiesas iestādes telpām. Tādēļ tiesnesis savu darbības mērķi – taisnīgu tiesas nolēmumu – var sasniegt, atrodoties arī </w:t>
      </w:r>
      <w:r>
        <w:rPr>
          <w:rFonts w:ascii="Times New Roman" w:hAnsi="Times New Roman"/>
          <w:sz w:val="24"/>
          <w:szCs w:val="24"/>
        </w:rPr>
        <w:lastRenderedPageBreak/>
        <w:t xml:space="preserve">ārpus tiesas telpām un tiesas </w:t>
      </w:r>
      <w:r w:rsidR="00F62747">
        <w:rPr>
          <w:rFonts w:ascii="Times New Roman" w:hAnsi="Times New Roman"/>
          <w:sz w:val="24"/>
          <w:szCs w:val="24"/>
        </w:rPr>
        <w:t>i</w:t>
      </w:r>
      <w:r>
        <w:rPr>
          <w:rFonts w:ascii="Times New Roman" w:hAnsi="Times New Roman"/>
          <w:sz w:val="24"/>
          <w:szCs w:val="24"/>
        </w:rPr>
        <w:t>estādes noteiktā darba laika</w:t>
      </w:r>
      <w:r w:rsidR="004D49B3">
        <w:rPr>
          <w:rFonts w:ascii="Times New Roman" w:hAnsi="Times New Roman"/>
          <w:sz w:val="24"/>
          <w:szCs w:val="24"/>
        </w:rPr>
        <w:t xml:space="preserve"> </w:t>
      </w:r>
      <w:r>
        <w:rPr>
          <w:rFonts w:ascii="Times New Roman" w:hAnsi="Times New Roman"/>
          <w:i/>
          <w:sz w:val="24"/>
          <w:szCs w:val="24"/>
        </w:rPr>
        <w:t>(turpat)</w:t>
      </w:r>
      <w:r>
        <w:rPr>
          <w:rFonts w:ascii="Times New Roman" w:hAnsi="Times New Roman"/>
          <w:sz w:val="24"/>
          <w:szCs w:val="24"/>
        </w:rPr>
        <w:t>. Turklāt taisnīga tiesas nolēmuma pamatā ir tiesneša zināšanas, kas tai skaitā iegūstamas attiecīgās mācību iestādēs.</w:t>
      </w:r>
    </w:p>
    <w:p w14:paraId="28B8EFF3" w14:textId="77777777" w:rsidR="006918EF" w:rsidRDefault="006918EF" w:rsidP="00F62747">
      <w:pPr>
        <w:spacing w:after="0" w:line="360" w:lineRule="auto"/>
        <w:ind w:firstLine="720"/>
        <w:jc w:val="both"/>
        <w:rPr>
          <w:rFonts w:ascii="Times New Roman" w:hAnsi="Times New Roman"/>
          <w:sz w:val="24"/>
          <w:szCs w:val="24"/>
        </w:rPr>
      </w:pPr>
      <w:r>
        <w:rPr>
          <w:rFonts w:ascii="Times New Roman" w:hAnsi="Times New Roman"/>
          <w:sz w:val="24"/>
          <w:szCs w:val="24"/>
        </w:rPr>
        <w:t>Līdz ar to tiesas iestādē noteiktais darba laiks uz tiesnesi būtu attiecināms nevis formāli (burtiski), bet elastīgi, ņemot vērā konkrētos apstākļus.</w:t>
      </w:r>
    </w:p>
    <w:p w14:paraId="59DA0B34" w14:textId="77777777" w:rsidR="006918EF" w:rsidRDefault="006918EF" w:rsidP="00F62747">
      <w:pPr>
        <w:spacing w:after="0" w:line="360" w:lineRule="auto"/>
        <w:jc w:val="both"/>
        <w:rPr>
          <w:rFonts w:ascii="Times New Roman" w:hAnsi="Times New Roman"/>
          <w:sz w:val="24"/>
          <w:szCs w:val="24"/>
        </w:rPr>
      </w:pPr>
      <w:r>
        <w:rPr>
          <w:rFonts w:ascii="Times New Roman" w:hAnsi="Times New Roman"/>
          <w:sz w:val="24"/>
          <w:szCs w:val="24"/>
        </w:rPr>
        <w:t xml:space="preserve"> </w:t>
      </w:r>
    </w:p>
    <w:p w14:paraId="1CECA023" w14:textId="5429DD58" w:rsidR="006918EF" w:rsidRDefault="006918EF" w:rsidP="00F62747">
      <w:pPr>
        <w:spacing w:after="0" w:line="360" w:lineRule="auto"/>
        <w:ind w:firstLine="720"/>
        <w:jc w:val="both"/>
        <w:rPr>
          <w:rFonts w:ascii="Times New Roman" w:hAnsi="Times New Roman"/>
          <w:color w:val="000000"/>
          <w:w w:val="104"/>
          <w:sz w:val="24"/>
          <w:szCs w:val="24"/>
        </w:rPr>
      </w:pPr>
      <w:r>
        <w:rPr>
          <w:rFonts w:ascii="Times New Roman" w:hAnsi="Times New Roman"/>
          <w:color w:val="000000"/>
          <w:w w:val="104"/>
          <w:sz w:val="24"/>
          <w:szCs w:val="24"/>
        </w:rPr>
        <w:t>[2]</w:t>
      </w:r>
      <w:r w:rsidR="004D49B3">
        <w:rPr>
          <w:rFonts w:ascii="Times New Roman" w:hAnsi="Times New Roman"/>
          <w:color w:val="000000"/>
          <w:w w:val="104"/>
          <w:sz w:val="24"/>
          <w:szCs w:val="24"/>
        </w:rPr>
        <w:t> </w:t>
      </w:r>
      <w:r>
        <w:rPr>
          <w:rFonts w:ascii="Times New Roman" w:hAnsi="Times New Roman"/>
          <w:color w:val="000000"/>
          <w:w w:val="104"/>
          <w:sz w:val="24"/>
          <w:szCs w:val="24"/>
        </w:rPr>
        <w:t xml:space="preserve">Vienlaikus jāuzsver, ka atbilstoši Latvijas tiesnešu ētikas kodeksa </w:t>
      </w:r>
      <w:r w:rsidRPr="004D49B3">
        <w:rPr>
          <w:rFonts w:ascii="Times New Roman" w:hAnsi="Times New Roman"/>
          <w:color w:val="000000"/>
          <w:w w:val="104"/>
          <w:sz w:val="24"/>
          <w:szCs w:val="24"/>
        </w:rPr>
        <w:t xml:space="preserve">(turpmāk – Ētikas kodekss) </w:t>
      </w:r>
      <w:r>
        <w:rPr>
          <w:rFonts w:ascii="Times New Roman" w:hAnsi="Times New Roman"/>
          <w:color w:val="000000"/>
          <w:w w:val="104"/>
          <w:sz w:val="24"/>
          <w:szCs w:val="24"/>
        </w:rPr>
        <w:t xml:space="preserve">3.kanona 1.punktam tiesnešu tiešo pienākumu pildīšana ir primāra salīdzinājumā ar pārējām tiesneša veiktajām darbībām. </w:t>
      </w:r>
    </w:p>
    <w:p w14:paraId="3CC814D0" w14:textId="77777777" w:rsidR="006918EF" w:rsidRDefault="006918EF" w:rsidP="00F62747">
      <w:pPr>
        <w:spacing w:after="0" w:line="360" w:lineRule="auto"/>
        <w:ind w:firstLine="720"/>
        <w:jc w:val="both"/>
        <w:rPr>
          <w:rFonts w:ascii="Times New Roman" w:hAnsi="Times New Roman"/>
          <w:i/>
          <w:color w:val="000000"/>
          <w:w w:val="104"/>
          <w:sz w:val="24"/>
          <w:szCs w:val="24"/>
        </w:rPr>
      </w:pPr>
      <w:r>
        <w:rPr>
          <w:rFonts w:ascii="Times New Roman" w:hAnsi="Times New Roman"/>
          <w:color w:val="000000"/>
          <w:w w:val="104"/>
          <w:sz w:val="24"/>
          <w:szCs w:val="24"/>
        </w:rPr>
        <w:t xml:space="preserve">Respektīvi, tiesnesim būtu jāizvairās no darbībām, kas traucētu viņam efektīvi pildīt tiesneša pienākumus, jo prasītu vai aizņemtu pārāk daudz laika, radītu bažas par tiesneša objektivitāti vai citādā veidā apdraudētu tiesneša dienesta intereses </w:t>
      </w:r>
      <w:r>
        <w:rPr>
          <w:rFonts w:ascii="Times New Roman" w:hAnsi="Times New Roman"/>
          <w:i/>
          <w:color w:val="000000"/>
          <w:w w:val="104"/>
          <w:sz w:val="24"/>
          <w:szCs w:val="24"/>
        </w:rPr>
        <w:t>(sk., piemēram, Ētikas kodeksa 4.kanona 1.punktu, kā arī ANO Ekonomisko un sociālo lietu padomes pieņemto Tiesnešu uzvedības Bangaloras principu (turpmāk – Bangaloras principi) 4.11.4.apakšpunktu).</w:t>
      </w:r>
    </w:p>
    <w:p w14:paraId="62D34EF2" w14:textId="651D5055" w:rsidR="006918EF" w:rsidRDefault="006918EF" w:rsidP="00F62747">
      <w:pPr>
        <w:spacing w:after="0" w:line="360" w:lineRule="auto"/>
        <w:ind w:firstLine="720"/>
        <w:jc w:val="both"/>
        <w:rPr>
          <w:rFonts w:ascii="Times New Roman" w:hAnsi="Times New Roman"/>
          <w:color w:val="000000"/>
          <w:w w:val="104"/>
          <w:sz w:val="24"/>
          <w:szCs w:val="24"/>
        </w:rPr>
      </w:pPr>
      <w:r>
        <w:rPr>
          <w:rFonts w:ascii="Times New Roman" w:hAnsi="Times New Roman"/>
          <w:color w:val="000000"/>
          <w:w w:val="104"/>
          <w:sz w:val="24"/>
          <w:szCs w:val="24"/>
        </w:rPr>
        <w:t>Ņemot vērā iepriekš minēto, Tiesnešu ētikas komisijas ieskatā tiesnesim būtu vēlams mācību procesu tiesas iestādes darba laikā organizēt tādā veidā, lai tas netraucētu efektīvi pildīt tiesneša tiešos darba pienākumus, proti:</w:t>
      </w:r>
    </w:p>
    <w:p w14:paraId="5F887C85" w14:textId="2EC7F848" w:rsidR="006918EF" w:rsidRDefault="006918EF" w:rsidP="00F62747">
      <w:pPr>
        <w:spacing w:after="0" w:line="360" w:lineRule="auto"/>
        <w:ind w:firstLine="720"/>
        <w:jc w:val="both"/>
        <w:rPr>
          <w:rFonts w:ascii="Times New Roman" w:hAnsi="Times New Roman"/>
          <w:i/>
          <w:sz w:val="24"/>
          <w:szCs w:val="24"/>
        </w:rPr>
      </w:pPr>
      <w:r>
        <w:rPr>
          <w:rFonts w:ascii="Times New Roman" w:hAnsi="Times New Roman"/>
          <w:color w:val="000000"/>
          <w:w w:val="104"/>
          <w:sz w:val="24"/>
          <w:szCs w:val="24"/>
        </w:rPr>
        <w:t xml:space="preserve">- tiesnesim būtu </w:t>
      </w:r>
      <w:r>
        <w:rPr>
          <w:rFonts w:ascii="Times New Roman" w:hAnsi="Times New Roman"/>
          <w:sz w:val="24"/>
          <w:szCs w:val="24"/>
        </w:rPr>
        <w:t xml:space="preserve">jārēķinās ar to, ka viņam dažādu ar tiešo pienākumu pildīšanu saistītu jautājumu risināšanai ir jābūt pieejamam gan tiesas darbiniekiem (piemēram, tiesneša palīgam un tiesas sēžu sekretāram), gan kolēģiem (primāri jau kolēģiem, kuri ar tiesnesi strādā vienā tiesas sastāvā), gan arī tiesas priekšsēdētājam. Tiesneša atrašanās ārpus tiesas telpām tiesas iestādes darba laikā nedrīkst traucēt vai kavēt to tiesas darbinieku, kolēģu un tiesas priekšsēdētāja pienākumu izpildei, kas ir atkarīgi arī no konkrētā tiesneša. Pretējā gadījumā tas būtu Ētikas kodeksa 3.kanona pārkāpums </w:t>
      </w:r>
      <w:r>
        <w:rPr>
          <w:rFonts w:ascii="Times New Roman" w:hAnsi="Times New Roman"/>
          <w:i/>
          <w:sz w:val="24"/>
          <w:szCs w:val="24"/>
        </w:rPr>
        <w:t xml:space="preserve">(sk. Tiesnešu ētikas komisijas 2016.gada 14.oktobra skaidrojumu). </w:t>
      </w:r>
      <w:r>
        <w:rPr>
          <w:rFonts w:ascii="Times New Roman" w:hAnsi="Times New Roman"/>
          <w:sz w:val="24"/>
          <w:szCs w:val="24"/>
        </w:rPr>
        <w:t>Turklāt, lai nodrošinātu, ka netiks kavēta vai traucēta tiesas darbinieku, kolēģu un tiesas priekšsēdētāja darba pienākumu izpilde, tiesnesim ir jāinformē par savu prombūtni, t.sk., ja tā sa</w:t>
      </w:r>
      <w:r w:rsidR="000E45AE">
        <w:rPr>
          <w:rFonts w:ascii="Times New Roman" w:hAnsi="Times New Roman"/>
          <w:sz w:val="24"/>
          <w:szCs w:val="24"/>
        </w:rPr>
        <w:t xml:space="preserve">istīta ar mācībām. </w:t>
      </w:r>
      <w:r w:rsidR="000E45AE" w:rsidRPr="00AD5482">
        <w:rPr>
          <w:rFonts w:ascii="Times New Roman" w:hAnsi="Times New Roman"/>
          <w:sz w:val="24"/>
          <w:szCs w:val="24"/>
        </w:rPr>
        <w:t>M</w:t>
      </w:r>
      <w:r w:rsidRPr="00AD5482">
        <w:rPr>
          <w:rFonts w:ascii="Times New Roman" w:hAnsi="Times New Roman"/>
          <w:sz w:val="24"/>
          <w:szCs w:val="24"/>
        </w:rPr>
        <w:t>inētais izriet arī no tiesneša pienākuma rīkoties, lai neradītu šaubas par viņa godprātību</w:t>
      </w:r>
      <w:r>
        <w:rPr>
          <w:rFonts w:ascii="Times New Roman" w:hAnsi="Times New Roman"/>
          <w:i/>
          <w:sz w:val="24"/>
          <w:szCs w:val="24"/>
        </w:rPr>
        <w:t xml:space="preserve"> (Bangaloras principu 3.1. un 3.2.apakšpunkts). </w:t>
      </w:r>
      <w:r w:rsidRPr="00AD5482">
        <w:rPr>
          <w:rFonts w:ascii="Times New Roman" w:hAnsi="Times New Roman"/>
          <w:sz w:val="24"/>
          <w:szCs w:val="24"/>
        </w:rPr>
        <w:t xml:space="preserve">Citiem vārdiem, neradītu iespaidu, ka viņš rīkojas, ne ar ko nerēķinoties, bez jebkāda objektīva pamata neatrodoties darba vietā tiesas </w:t>
      </w:r>
      <w:r w:rsidR="000E45AE" w:rsidRPr="00AD5482">
        <w:rPr>
          <w:rFonts w:ascii="Times New Roman" w:hAnsi="Times New Roman"/>
          <w:sz w:val="24"/>
          <w:szCs w:val="24"/>
        </w:rPr>
        <w:t>iestādes noteiktajā darba laikā</w:t>
      </w:r>
      <w:r w:rsidRPr="00AD5482">
        <w:rPr>
          <w:rFonts w:ascii="Times New Roman" w:hAnsi="Times New Roman"/>
          <w:sz w:val="24"/>
          <w:szCs w:val="24"/>
        </w:rPr>
        <w:t>;</w:t>
      </w:r>
      <w:r>
        <w:rPr>
          <w:rFonts w:ascii="Times New Roman" w:hAnsi="Times New Roman"/>
          <w:i/>
          <w:sz w:val="24"/>
          <w:szCs w:val="24"/>
        </w:rPr>
        <w:t xml:space="preserve"> </w:t>
      </w:r>
    </w:p>
    <w:p w14:paraId="121DD5A8" w14:textId="77777777" w:rsidR="006918EF" w:rsidRDefault="006918EF" w:rsidP="00F62747">
      <w:pPr>
        <w:spacing w:after="0" w:line="360" w:lineRule="auto"/>
        <w:ind w:firstLine="720"/>
        <w:jc w:val="both"/>
        <w:rPr>
          <w:rFonts w:ascii="Times New Roman" w:hAnsi="Times New Roman"/>
          <w:i/>
          <w:sz w:val="24"/>
          <w:szCs w:val="24"/>
        </w:rPr>
      </w:pPr>
      <w:r>
        <w:rPr>
          <w:rFonts w:ascii="Times New Roman" w:hAnsi="Times New Roman"/>
          <w:sz w:val="24"/>
          <w:szCs w:val="24"/>
        </w:rPr>
        <w:t xml:space="preserve">- tiesneša mācībām nevajadzētu iespaidot lietu savlaicīgu izskatīšanu un tiesas nolēmumu taisīšanu </w:t>
      </w:r>
      <w:r>
        <w:rPr>
          <w:rFonts w:ascii="Times New Roman" w:hAnsi="Times New Roman"/>
          <w:i/>
          <w:sz w:val="24"/>
          <w:szCs w:val="24"/>
        </w:rPr>
        <w:t>(sk. sal. Bangaloras principu 6.5.apakšpunktu)</w:t>
      </w:r>
      <w:r>
        <w:rPr>
          <w:rFonts w:ascii="Times New Roman" w:hAnsi="Times New Roman"/>
          <w:sz w:val="24"/>
          <w:szCs w:val="24"/>
        </w:rPr>
        <w:t>;</w:t>
      </w:r>
    </w:p>
    <w:p w14:paraId="1D9A519E" w14:textId="26655296" w:rsidR="006918EF" w:rsidRDefault="006918EF" w:rsidP="00F62747">
      <w:pPr>
        <w:spacing w:after="0" w:line="360" w:lineRule="auto"/>
        <w:ind w:firstLine="720"/>
        <w:jc w:val="both"/>
        <w:rPr>
          <w:rFonts w:ascii="Times New Roman" w:hAnsi="Times New Roman"/>
          <w:sz w:val="24"/>
          <w:szCs w:val="24"/>
        </w:rPr>
      </w:pPr>
      <w:r>
        <w:rPr>
          <w:rFonts w:ascii="Times New Roman" w:hAnsi="Times New Roman"/>
          <w:sz w:val="24"/>
          <w:szCs w:val="24"/>
        </w:rPr>
        <w:t xml:space="preserve">- mācību procesam jābūt vērstam uz zināšanu, prasmju un personīgo spēju attīstību, kas </w:t>
      </w:r>
      <w:r w:rsidR="007B048E">
        <w:rPr>
          <w:rFonts w:ascii="Times New Roman" w:hAnsi="Times New Roman"/>
          <w:sz w:val="24"/>
          <w:szCs w:val="24"/>
        </w:rPr>
        <w:t>sekmē</w:t>
      </w:r>
      <w:r>
        <w:rPr>
          <w:rFonts w:ascii="Times New Roman" w:hAnsi="Times New Roman"/>
          <w:sz w:val="24"/>
          <w:szCs w:val="24"/>
        </w:rPr>
        <w:t xml:space="preserve"> tiesneša pienākumu pienācīg</w:t>
      </w:r>
      <w:r w:rsidR="007B048E">
        <w:rPr>
          <w:rFonts w:ascii="Times New Roman" w:hAnsi="Times New Roman"/>
          <w:sz w:val="24"/>
          <w:szCs w:val="24"/>
        </w:rPr>
        <w:t>u</w:t>
      </w:r>
      <w:r>
        <w:rPr>
          <w:rFonts w:ascii="Times New Roman" w:hAnsi="Times New Roman"/>
          <w:sz w:val="24"/>
          <w:szCs w:val="24"/>
        </w:rPr>
        <w:t xml:space="preserve"> veikšan</w:t>
      </w:r>
      <w:r w:rsidR="007B048E">
        <w:rPr>
          <w:rFonts w:ascii="Times New Roman" w:hAnsi="Times New Roman"/>
          <w:sz w:val="24"/>
          <w:szCs w:val="24"/>
        </w:rPr>
        <w:t>u</w:t>
      </w:r>
      <w:r>
        <w:rPr>
          <w:rFonts w:ascii="Times New Roman" w:hAnsi="Times New Roman"/>
          <w:sz w:val="24"/>
          <w:szCs w:val="24"/>
        </w:rPr>
        <w:t xml:space="preserve"> </w:t>
      </w:r>
      <w:r>
        <w:rPr>
          <w:rFonts w:ascii="Times New Roman" w:hAnsi="Times New Roman"/>
          <w:i/>
          <w:sz w:val="24"/>
          <w:szCs w:val="24"/>
        </w:rPr>
        <w:t>(sk. sal. Bangaloras principu 6.3.punktu)</w:t>
      </w:r>
      <w:r>
        <w:rPr>
          <w:rFonts w:ascii="Times New Roman" w:hAnsi="Times New Roman"/>
          <w:sz w:val="24"/>
          <w:szCs w:val="24"/>
        </w:rPr>
        <w:t>.</w:t>
      </w:r>
    </w:p>
    <w:p w14:paraId="4439EE18" w14:textId="77777777" w:rsidR="006918EF" w:rsidRDefault="006918EF" w:rsidP="00F62747">
      <w:pPr>
        <w:spacing w:after="0" w:line="360" w:lineRule="auto"/>
        <w:jc w:val="both"/>
        <w:rPr>
          <w:rFonts w:ascii="Times New Roman" w:hAnsi="Times New Roman"/>
          <w:sz w:val="24"/>
          <w:szCs w:val="24"/>
        </w:rPr>
      </w:pPr>
    </w:p>
    <w:p w14:paraId="7D6FE46F" w14:textId="7C5ABE02" w:rsidR="006918EF" w:rsidRDefault="006918EF" w:rsidP="00F62747">
      <w:pPr>
        <w:spacing w:after="0" w:line="360" w:lineRule="auto"/>
        <w:ind w:firstLine="720"/>
        <w:jc w:val="both"/>
        <w:rPr>
          <w:rFonts w:ascii="Times New Roman" w:hAnsi="Times New Roman"/>
          <w:sz w:val="24"/>
          <w:szCs w:val="24"/>
        </w:rPr>
      </w:pPr>
      <w:r>
        <w:rPr>
          <w:rFonts w:ascii="Times New Roman" w:hAnsi="Times New Roman"/>
          <w:sz w:val="24"/>
          <w:szCs w:val="24"/>
        </w:rPr>
        <w:t>[3]</w:t>
      </w:r>
      <w:r w:rsidR="004D49B3">
        <w:rPr>
          <w:rFonts w:ascii="Times New Roman" w:hAnsi="Times New Roman"/>
          <w:sz w:val="24"/>
          <w:szCs w:val="24"/>
        </w:rPr>
        <w:t> </w:t>
      </w:r>
      <w:r>
        <w:rPr>
          <w:rFonts w:ascii="Times New Roman" w:hAnsi="Times New Roman"/>
          <w:sz w:val="24"/>
          <w:szCs w:val="24"/>
        </w:rPr>
        <w:t>Atbilstoši likuma “Par tiesu varu” 33.panta pirmajai daļai tiesas priekšsēdētājs vada tiesas iestādes darbu. Panta trešās daļas 3., 4. un 4.</w:t>
      </w:r>
      <w:r>
        <w:rPr>
          <w:rFonts w:ascii="Times New Roman" w:hAnsi="Times New Roman"/>
          <w:sz w:val="24"/>
          <w:szCs w:val="24"/>
          <w:vertAlign w:val="superscript"/>
        </w:rPr>
        <w:t>1</w:t>
      </w:r>
      <w:r>
        <w:rPr>
          <w:rFonts w:ascii="Times New Roman" w:hAnsi="Times New Roman"/>
          <w:sz w:val="24"/>
          <w:szCs w:val="24"/>
        </w:rPr>
        <w:t>punkts noteic, ka tiesas priekšsēdētājs nosaka tiesnešu pienākumus, kas saistīti ar tiesas iestādes efektīvu funkcionēšanu, atbild par lietu un citu pienākumu sadali starp tiesnešiem un organizē tiesas darbu. Savukārt panta ceturtās daļas 2. un 3.punkts paredz, ka tiesas priekšsēdētājs var pieprasīt tiesnesim paskaidrojumu par tiesneša darba organizācijas un citiem jautājumiem šajā pantā noteiktās kompetences ietvaros, kā arī dot tiesnesim rīkojumus, kas saistīti ar tiesneša darba organizāciju amata pienākumu izpildei.</w:t>
      </w:r>
    </w:p>
    <w:p w14:paraId="489B6EBC" w14:textId="77777777" w:rsidR="006918EF" w:rsidRDefault="006918EF" w:rsidP="00F62747">
      <w:pPr>
        <w:spacing w:after="0" w:line="360" w:lineRule="auto"/>
        <w:ind w:firstLine="720"/>
        <w:jc w:val="both"/>
        <w:rPr>
          <w:rFonts w:ascii="Times New Roman" w:hAnsi="Times New Roman"/>
          <w:sz w:val="24"/>
          <w:szCs w:val="24"/>
        </w:rPr>
      </w:pPr>
      <w:r>
        <w:rPr>
          <w:rFonts w:ascii="Times New Roman" w:hAnsi="Times New Roman"/>
          <w:sz w:val="24"/>
          <w:szCs w:val="24"/>
        </w:rPr>
        <w:t>Tādējādi, lai arī uz tiesneša darba laiku ir pieļaujams lūkoties elastīgi, tomēr no iepriekš minētajām tiesas priekšsēdētāja tiesībām un pienākumiem izriet, ka viņam ir jābūt informētam par to, vai tiesnesis atrodas vai atradīsies darba vietā darba laikā, jo pretējā gadījumā tiesas priekšsēdētājam nebūtu iespējams plānot un organizēt tiesas darbu.</w:t>
      </w:r>
    </w:p>
    <w:p w14:paraId="0DF3F83E" w14:textId="77777777" w:rsidR="00EE7032" w:rsidRDefault="006918EF" w:rsidP="00F62747">
      <w:pPr>
        <w:spacing w:after="0" w:line="360" w:lineRule="auto"/>
        <w:ind w:firstLine="720"/>
        <w:jc w:val="both"/>
        <w:rPr>
          <w:rFonts w:ascii="Times New Roman" w:hAnsi="Times New Roman"/>
          <w:sz w:val="24"/>
          <w:szCs w:val="24"/>
        </w:rPr>
      </w:pPr>
      <w:r>
        <w:rPr>
          <w:rFonts w:ascii="Times New Roman" w:hAnsi="Times New Roman"/>
          <w:sz w:val="24"/>
          <w:szCs w:val="24"/>
        </w:rPr>
        <w:t xml:space="preserve">Respektīvi, tiesnesim ir jāsaskaņo sava prombūtne ar tiesas priekšsēdētāju, kā arī jāinformē par prombūtnes iemesliem, lai būtu iespējams izvērtēt, vai šādai prombūtnei ir objektīvs un attaisnojams pamats </w:t>
      </w:r>
      <w:r>
        <w:rPr>
          <w:rFonts w:ascii="Times New Roman" w:hAnsi="Times New Roman"/>
          <w:i/>
          <w:sz w:val="24"/>
          <w:szCs w:val="24"/>
        </w:rPr>
        <w:t>(sk. Tiesnešu ētikas komisijas 2016.gada 14.oktobra skaidrojumu)</w:t>
      </w:r>
      <w:r>
        <w:rPr>
          <w:rFonts w:ascii="Times New Roman" w:hAnsi="Times New Roman"/>
          <w:sz w:val="24"/>
          <w:szCs w:val="24"/>
        </w:rPr>
        <w:t xml:space="preserve">. It īpaši šāds saskaņojums nepieciešams, ja tiesneša prombūtnei ir ilgstošs un sistemātisks raksturs, piemēram, ja tiesnesis vēlas iegūt papildu izglītību pilna laika studijās </w:t>
      </w:r>
      <w:r>
        <w:rPr>
          <w:rFonts w:ascii="Times New Roman" w:hAnsi="Times New Roman"/>
          <w:i/>
          <w:sz w:val="24"/>
          <w:szCs w:val="24"/>
        </w:rPr>
        <w:t xml:space="preserve">(sk. sal. Bangaloras principu 6.3.apakšpunktu). </w:t>
      </w:r>
    </w:p>
    <w:p w14:paraId="6387231C" w14:textId="649051A8" w:rsidR="006918EF" w:rsidRDefault="006918EF" w:rsidP="00F62747">
      <w:pPr>
        <w:spacing w:after="0" w:line="360" w:lineRule="auto"/>
        <w:ind w:firstLine="720"/>
        <w:jc w:val="both"/>
        <w:rPr>
          <w:rFonts w:ascii="Times New Roman" w:hAnsi="Times New Roman"/>
          <w:color w:val="000000"/>
          <w:w w:val="104"/>
          <w:sz w:val="24"/>
          <w:szCs w:val="24"/>
        </w:rPr>
      </w:pPr>
      <w:r>
        <w:rPr>
          <w:rFonts w:ascii="Times New Roman" w:hAnsi="Times New Roman"/>
          <w:sz w:val="24"/>
          <w:szCs w:val="24"/>
        </w:rPr>
        <w:t>Vienlaikus Tiesnešu ē</w:t>
      </w:r>
      <w:r w:rsidR="00337CFC">
        <w:rPr>
          <w:rFonts w:ascii="Times New Roman" w:hAnsi="Times New Roman"/>
          <w:sz w:val="24"/>
          <w:szCs w:val="24"/>
        </w:rPr>
        <w:t>tikas komisija vērš uzmanību, ka pats par sevi apstāklis, ka tiesnesis paralēli savu profesionālo amata pienākumu pildīšanai vēlas apgūt ar tiesību zinātnēm nesaistītu izglītības programmu mācību iestādē, apmeklējot pilna laika studijas tiesas oficiālajā darba laikā, nedod pamatu uzskatam, ka šāda rīcība nav akceptējama, ja tā ir vērsta uz zināšanu pilnveidošanu, prasmju un personīgo spēju nostiprināšanu, kas sekmētu tiesneša pienākumu pienācīgu veikšanu, kā arī, ja šādas studijas netraucē nedz tiesneša, nedz tiesas darbinieku un tiesas priekšsēdētāja darba pienākumu izpildei.</w:t>
      </w:r>
    </w:p>
    <w:p w14:paraId="024535BE" w14:textId="77777777" w:rsidR="006918EF" w:rsidRDefault="006918EF" w:rsidP="00F62747">
      <w:pPr>
        <w:spacing w:after="0" w:line="360" w:lineRule="auto"/>
        <w:ind w:firstLine="720"/>
        <w:jc w:val="both"/>
        <w:rPr>
          <w:rFonts w:ascii="Times New Roman" w:hAnsi="Times New Roman"/>
          <w:sz w:val="24"/>
          <w:szCs w:val="24"/>
        </w:rPr>
      </w:pPr>
    </w:p>
    <w:p w14:paraId="342B7D16" w14:textId="483A6F98" w:rsidR="006918EF" w:rsidRDefault="006918EF" w:rsidP="00F62747">
      <w:pPr>
        <w:spacing w:after="0" w:line="360" w:lineRule="auto"/>
        <w:ind w:firstLine="720"/>
        <w:jc w:val="both"/>
        <w:rPr>
          <w:rFonts w:ascii="Times New Roman" w:hAnsi="Times New Roman"/>
          <w:sz w:val="24"/>
          <w:szCs w:val="24"/>
        </w:rPr>
      </w:pPr>
      <w:r>
        <w:rPr>
          <w:rFonts w:ascii="Times New Roman" w:hAnsi="Times New Roman"/>
          <w:sz w:val="24"/>
          <w:szCs w:val="24"/>
        </w:rPr>
        <w:t>[4]</w:t>
      </w:r>
      <w:r w:rsidR="004D49B3">
        <w:rPr>
          <w:rFonts w:ascii="Times New Roman" w:hAnsi="Times New Roman"/>
          <w:sz w:val="24"/>
          <w:szCs w:val="24"/>
        </w:rPr>
        <w:t> </w:t>
      </w:r>
      <w:r>
        <w:rPr>
          <w:rFonts w:ascii="Times New Roman" w:hAnsi="Times New Roman"/>
          <w:sz w:val="24"/>
          <w:szCs w:val="24"/>
        </w:rPr>
        <w:t>Rezumējot iepriekš minēto, Tiesnešu ētikas komisija atzīst, ka</w:t>
      </w:r>
      <w:r>
        <w:rPr>
          <w:rFonts w:ascii="Times New Roman" w:hAnsi="Times New Roman"/>
          <w:color w:val="000000"/>
          <w:sz w:val="24"/>
          <w:szCs w:val="24"/>
        </w:rPr>
        <w:t xml:space="preserve"> </w:t>
      </w:r>
      <w:r>
        <w:rPr>
          <w:rFonts w:ascii="Times New Roman" w:hAnsi="Times New Roman"/>
          <w:color w:val="000000"/>
          <w:sz w:val="24"/>
          <w:szCs w:val="24"/>
          <w:lang w:eastAsia="lv-LV"/>
        </w:rPr>
        <w:t>tiesnesim vispārīgi ir saistošs tiesas iestādē noteiktais darba laiks.</w:t>
      </w:r>
      <w:r>
        <w:rPr>
          <w:rFonts w:ascii="Times New Roman" w:hAnsi="Times New Roman"/>
          <w:sz w:val="24"/>
          <w:szCs w:val="24"/>
        </w:rPr>
        <w:t xml:space="preserve"> Tomēr jāievēro, ka tiesnesis savu darba laiku var plānot elastīgi, viņam ir tiesības apmeklēt mācības arī darba laikā, pie nosacījuma, ka:</w:t>
      </w:r>
    </w:p>
    <w:p w14:paraId="036A7E47" w14:textId="691CF340" w:rsidR="006918EF" w:rsidRDefault="006918EF" w:rsidP="00F62747">
      <w:pPr>
        <w:spacing w:after="0" w:line="360" w:lineRule="auto"/>
        <w:ind w:firstLine="720"/>
        <w:jc w:val="both"/>
        <w:rPr>
          <w:rFonts w:ascii="Times New Roman" w:hAnsi="Times New Roman"/>
          <w:sz w:val="24"/>
          <w:szCs w:val="24"/>
        </w:rPr>
      </w:pPr>
      <w:r>
        <w:rPr>
          <w:rFonts w:ascii="Times New Roman" w:hAnsi="Times New Roman"/>
          <w:sz w:val="24"/>
          <w:szCs w:val="24"/>
        </w:rPr>
        <w:t>1)</w:t>
      </w:r>
      <w:r w:rsidR="004D49B3">
        <w:rPr>
          <w:rFonts w:ascii="Times New Roman" w:hAnsi="Times New Roman"/>
          <w:sz w:val="24"/>
          <w:szCs w:val="24"/>
        </w:rPr>
        <w:t> </w:t>
      </w:r>
      <w:r>
        <w:rPr>
          <w:rFonts w:ascii="Times New Roman" w:hAnsi="Times New Roman"/>
          <w:sz w:val="24"/>
          <w:szCs w:val="24"/>
        </w:rPr>
        <w:t>tiek nodrošināta profesionālo pienākumu efektīva izpilde;</w:t>
      </w:r>
    </w:p>
    <w:p w14:paraId="277B26A3" w14:textId="00F8B8A7" w:rsidR="006918EF" w:rsidRDefault="006918EF" w:rsidP="00F62747">
      <w:pPr>
        <w:spacing w:after="0" w:line="360" w:lineRule="auto"/>
        <w:ind w:firstLine="720"/>
        <w:jc w:val="both"/>
        <w:rPr>
          <w:rFonts w:ascii="Times New Roman" w:hAnsi="Times New Roman"/>
          <w:sz w:val="24"/>
          <w:szCs w:val="24"/>
        </w:rPr>
      </w:pPr>
      <w:r>
        <w:rPr>
          <w:rFonts w:ascii="Times New Roman" w:hAnsi="Times New Roman"/>
          <w:sz w:val="24"/>
          <w:szCs w:val="24"/>
        </w:rPr>
        <w:t>2)</w:t>
      </w:r>
      <w:r w:rsidR="004D49B3">
        <w:rPr>
          <w:rFonts w:ascii="Times New Roman" w:hAnsi="Times New Roman"/>
          <w:sz w:val="24"/>
          <w:szCs w:val="24"/>
        </w:rPr>
        <w:t> </w:t>
      </w:r>
      <w:r>
        <w:rPr>
          <w:rFonts w:ascii="Times New Roman" w:hAnsi="Times New Roman"/>
          <w:sz w:val="24"/>
          <w:szCs w:val="24"/>
        </w:rPr>
        <w:t>tiesneša mācības neatstāj negatīvu ietekmi uz priekšsēdētāja, citu viņa kolēģu un tiesas darbin</w:t>
      </w:r>
      <w:r w:rsidR="00F67F14">
        <w:rPr>
          <w:rFonts w:ascii="Times New Roman" w:hAnsi="Times New Roman"/>
          <w:sz w:val="24"/>
          <w:szCs w:val="24"/>
        </w:rPr>
        <w:t>ieku funkciju pienācīgu izpildi;</w:t>
      </w:r>
    </w:p>
    <w:p w14:paraId="6B0DDA7C" w14:textId="3CA305B1" w:rsidR="00F67F14" w:rsidRDefault="00F67F14" w:rsidP="00F62747">
      <w:pPr>
        <w:spacing w:after="0" w:line="360" w:lineRule="auto"/>
        <w:ind w:firstLine="720"/>
        <w:jc w:val="both"/>
        <w:rPr>
          <w:rFonts w:ascii="Times New Roman" w:hAnsi="Times New Roman"/>
          <w:sz w:val="24"/>
          <w:szCs w:val="24"/>
        </w:rPr>
      </w:pPr>
      <w:r>
        <w:rPr>
          <w:rFonts w:ascii="Times New Roman" w:hAnsi="Times New Roman"/>
          <w:sz w:val="24"/>
          <w:szCs w:val="24"/>
        </w:rPr>
        <w:t>3)</w:t>
      </w:r>
      <w:r w:rsidR="004D49B3">
        <w:rPr>
          <w:rFonts w:ascii="Times New Roman" w:hAnsi="Times New Roman"/>
          <w:sz w:val="24"/>
          <w:szCs w:val="24"/>
        </w:rPr>
        <w:t> </w:t>
      </w:r>
      <w:r>
        <w:rPr>
          <w:rFonts w:ascii="Times New Roman" w:hAnsi="Times New Roman"/>
          <w:sz w:val="24"/>
          <w:szCs w:val="24"/>
        </w:rPr>
        <w:t>mācību process</w:t>
      </w:r>
      <w:r w:rsidRPr="00F67F14">
        <w:rPr>
          <w:rFonts w:ascii="Times New Roman" w:hAnsi="Times New Roman"/>
          <w:sz w:val="24"/>
          <w:szCs w:val="24"/>
        </w:rPr>
        <w:t xml:space="preserve"> ir vērsts uz zināšanu pilnveidošanu, prasmju un personīgo sp</w:t>
      </w:r>
      <w:r>
        <w:rPr>
          <w:rFonts w:ascii="Times New Roman" w:hAnsi="Times New Roman"/>
          <w:sz w:val="24"/>
          <w:szCs w:val="24"/>
        </w:rPr>
        <w:t>ēju nostiprināšanu, kas sekmētu</w:t>
      </w:r>
      <w:r w:rsidRPr="00F67F14">
        <w:rPr>
          <w:rFonts w:ascii="Times New Roman" w:hAnsi="Times New Roman"/>
          <w:sz w:val="24"/>
          <w:szCs w:val="24"/>
        </w:rPr>
        <w:t xml:space="preserve"> tiesneša pienākumu pienācīgu veikšanu.</w:t>
      </w:r>
    </w:p>
    <w:p w14:paraId="3A860193" w14:textId="77777777" w:rsidR="006918EF" w:rsidRDefault="006918EF" w:rsidP="00F62747">
      <w:pPr>
        <w:spacing w:after="0" w:line="360" w:lineRule="auto"/>
        <w:ind w:firstLine="720"/>
        <w:jc w:val="both"/>
        <w:rPr>
          <w:rFonts w:ascii="Times New Roman" w:hAnsi="Times New Roman"/>
          <w:sz w:val="24"/>
          <w:szCs w:val="24"/>
        </w:rPr>
      </w:pPr>
      <w:r>
        <w:rPr>
          <w:rFonts w:ascii="Times New Roman" w:hAnsi="Times New Roman"/>
          <w:sz w:val="24"/>
          <w:szCs w:val="24"/>
        </w:rPr>
        <w:t>Tāpat Tiesnešu ētikas komisija izskaidro, ka tiesas priekšsēdētājam gan likumā noteiktie amata pienākumi, gan arī ētikas normas atļauj prasīt, lai tiesnesis saskaņo ar viņu savu atrašanos ārpus darba telpām tiesas iestādes darba laikā, t.sk., ja prombūtne saistīta ar tiesneša mācībām.</w:t>
      </w:r>
    </w:p>
    <w:p w14:paraId="41F72D62" w14:textId="77777777" w:rsidR="006918EF" w:rsidRDefault="006918EF" w:rsidP="00F62747">
      <w:pPr>
        <w:tabs>
          <w:tab w:val="left" w:pos="6237"/>
        </w:tabs>
        <w:spacing w:after="0" w:line="360" w:lineRule="auto"/>
        <w:rPr>
          <w:rFonts w:ascii="Times New Roman" w:hAnsi="Times New Roman"/>
          <w:sz w:val="24"/>
          <w:szCs w:val="24"/>
        </w:rPr>
      </w:pPr>
    </w:p>
    <w:p w14:paraId="64472027" w14:textId="08D67B77" w:rsidR="006918EF" w:rsidRDefault="006918EF" w:rsidP="00F62747">
      <w:pPr>
        <w:tabs>
          <w:tab w:val="left" w:pos="6237"/>
        </w:tabs>
        <w:spacing w:after="0" w:line="360" w:lineRule="auto"/>
        <w:rPr>
          <w:rFonts w:ascii="Times New Roman" w:hAnsi="Times New Roman"/>
          <w:sz w:val="24"/>
          <w:szCs w:val="24"/>
        </w:rPr>
      </w:pPr>
      <w:r>
        <w:rPr>
          <w:rFonts w:ascii="Times New Roman" w:hAnsi="Times New Roman"/>
          <w:sz w:val="24"/>
          <w:szCs w:val="24"/>
        </w:rPr>
        <w:t>Komisijas priekšsēdētāja</w:t>
      </w:r>
      <w:r>
        <w:rPr>
          <w:rFonts w:ascii="Times New Roman" w:hAnsi="Times New Roman"/>
          <w:sz w:val="24"/>
          <w:szCs w:val="24"/>
        </w:rPr>
        <w:tab/>
        <w:t>Anita Kovaļevska</w:t>
      </w:r>
    </w:p>
    <w:p w14:paraId="589BC74A" w14:textId="274B2B45" w:rsidR="006918EF" w:rsidRDefault="006918EF" w:rsidP="00F62747">
      <w:pPr>
        <w:tabs>
          <w:tab w:val="left" w:pos="-4395"/>
          <w:tab w:val="left" w:pos="6237"/>
        </w:tabs>
        <w:spacing w:after="0" w:line="360" w:lineRule="auto"/>
        <w:rPr>
          <w:rFonts w:ascii="Times New Roman" w:hAnsi="Times New Roman"/>
          <w:sz w:val="24"/>
          <w:szCs w:val="24"/>
        </w:rPr>
      </w:pPr>
      <w:r>
        <w:rPr>
          <w:rFonts w:ascii="Times New Roman" w:hAnsi="Times New Roman"/>
          <w:sz w:val="24"/>
          <w:szCs w:val="24"/>
        </w:rPr>
        <w:t>Komisijas locekļi</w:t>
      </w:r>
      <w:r>
        <w:rPr>
          <w:rFonts w:ascii="Times New Roman" w:hAnsi="Times New Roman"/>
          <w:sz w:val="24"/>
          <w:szCs w:val="24"/>
        </w:rPr>
        <w:tab/>
        <w:t>Dzintra Amerika</w:t>
      </w:r>
      <w:r>
        <w:rPr>
          <w:rFonts w:ascii="Times New Roman" w:hAnsi="Times New Roman"/>
          <w:sz w:val="24"/>
          <w:szCs w:val="24"/>
        </w:rPr>
        <w:tab/>
      </w:r>
    </w:p>
    <w:p w14:paraId="1083998D" w14:textId="09C7C1E6" w:rsidR="006918EF" w:rsidRDefault="006918EF" w:rsidP="00F62747">
      <w:pPr>
        <w:tabs>
          <w:tab w:val="left" w:pos="-4395"/>
          <w:tab w:val="left" w:pos="6237"/>
        </w:tabs>
        <w:spacing w:after="0" w:line="360" w:lineRule="auto"/>
        <w:rPr>
          <w:rFonts w:ascii="Times New Roman" w:hAnsi="Times New Roman"/>
          <w:sz w:val="24"/>
          <w:szCs w:val="24"/>
        </w:rPr>
      </w:pPr>
      <w:r>
        <w:rPr>
          <w:rFonts w:ascii="Times New Roman" w:hAnsi="Times New Roman"/>
          <w:sz w:val="24"/>
          <w:szCs w:val="24"/>
        </w:rPr>
        <w:tab/>
        <w:t>Normunds Salenieks</w:t>
      </w:r>
      <w:r>
        <w:rPr>
          <w:rFonts w:ascii="Times New Roman" w:hAnsi="Times New Roman"/>
          <w:sz w:val="24"/>
          <w:szCs w:val="24"/>
        </w:rPr>
        <w:tab/>
      </w:r>
    </w:p>
    <w:p w14:paraId="42F540E8" w14:textId="4F664123" w:rsidR="006918EF" w:rsidRDefault="006918EF" w:rsidP="00F62747">
      <w:pPr>
        <w:tabs>
          <w:tab w:val="left" w:pos="-4395"/>
          <w:tab w:val="left" w:pos="6237"/>
        </w:tabs>
        <w:spacing w:after="0" w:line="360" w:lineRule="auto"/>
        <w:rPr>
          <w:rFonts w:ascii="Times New Roman" w:hAnsi="Times New Roman"/>
          <w:sz w:val="24"/>
          <w:szCs w:val="24"/>
        </w:rPr>
      </w:pPr>
      <w:r>
        <w:rPr>
          <w:rFonts w:ascii="Times New Roman" w:hAnsi="Times New Roman"/>
          <w:sz w:val="24"/>
          <w:szCs w:val="24"/>
        </w:rPr>
        <w:tab/>
        <w:t>Madara Ābele</w:t>
      </w:r>
      <w:r>
        <w:rPr>
          <w:rFonts w:ascii="Times New Roman" w:hAnsi="Times New Roman"/>
          <w:sz w:val="24"/>
          <w:szCs w:val="24"/>
        </w:rPr>
        <w:tab/>
      </w:r>
    </w:p>
    <w:p w14:paraId="6DCF71E2" w14:textId="20DDB87A" w:rsidR="006918EF" w:rsidRDefault="006918EF" w:rsidP="00F62747">
      <w:pPr>
        <w:tabs>
          <w:tab w:val="left" w:pos="-4395"/>
          <w:tab w:val="left" w:pos="6237"/>
        </w:tabs>
        <w:spacing w:after="0" w:line="360" w:lineRule="auto"/>
        <w:rPr>
          <w:rFonts w:ascii="Times New Roman" w:hAnsi="Times New Roman"/>
          <w:sz w:val="24"/>
          <w:szCs w:val="24"/>
        </w:rPr>
      </w:pPr>
      <w:r>
        <w:rPr>
          <w:rFonts w:ascii="Times New Roman" w:hAnsi="Times New Roman"/>
          <w:sz w:val="24"/>
          <w:szCs w:val="24"/>
        </w:rPr>
        <w:tab/>
        <w:t>Agnese Skulme</w:t>
      </w:r>
      <w:r>
        <w:rPr>
          <w:rFonts w:ascii="Times New Roman" w:hAnsi="Times New Roman"/>
          <w:sz w:val="24"/>
          <w:szCs w:val="24"/>
        </w:rPr>
        <w:tab/>
      </w:r>
    </w:p>
    <w:p w14:paraId="19DF096F" w14:textId="74FAF536" w:rsidR="006918EF" w:rsidRDefault="006918EF" w:rsidP="00F62747">
      <w:pPr>
        <w:tabs>
          <w:tab w:val="left" w:pos="-2977"/>
          <w:tab w:val="left" w:pos="6237"/>
        </w:tabs>
        <w:spacing w:after="0" w:line="360" w:lineRule="auto"/>
        <w:rPr>
          <w:rFonts w:ascii="Times New Roman" w:hAnsi="Times New Roman"/>
          <w:sz w:val="24"/>
          <w:szCs w:val="24"/>
        </w:rPr>
      </w:pPr>
      <w:r>
        <w:rPr>
          <w:rFonts w:ascii="Times New Roman" w:hAnsi="Times New Roman"/>
          <w:sz w:val="24"/>
          <w:szCs w:val="24"/>
        </w:rPr>
        <w:tab/>
        <w:t>Alla Šilova</w:t>
      </w:r>
      <w:r>
        <w:rPr>
          <w:rFonts w:ascii="Times New Roman" w:hAnsi="Times New Roman"/>
          <w:sz w:val="24"/>
          <w:szCs w:val="24"/>
        </w:rPr>
        <w:tab/>
      </w:r>
    </w:p>
    <w:p w14:paraId="04256EC1" w14:textId="5A9E111A" w:rsidR="006918EF" w:rsidRDefault="006918EF" w:rsidP="00F62747">
      <w:pPr>
        <w:tabs>
          <w:tab w:val="left" w:pos="-2977"/>
          <w:tab w:val="left" w:pos="6237"/>
        </w:tabs>
        <w:spacing w:after="0" w:line="360" w:lineRule="auto"/>
        <w:rPr>
          <w:rFonts w:ascii="Times New Roman" w:hAnsi="Times New Roman"/>
          <w:sz w:val="24"/>
          <w:szCs w:val="24"/>
        </w:rPr>
      </w:pPr>
      <w:r>
        <w:rPr>
          <w:rFonts w:ascii="Times New Roman" w:hAnsi="Times New Roman"/>
          <w:sz w:val="24"/>
          <w:szCs w:val="24"/>
        </w:rPr>
        <w:tab/>
      </w:r>
      <w:bookmarkStart w:id="1" w:name="_GoBack"/>
      <w:bookmarkEnd w:id="1"/>
      <w:r>
        <w:rPr>
          <w:rFonts w:ascii="Times New Roman" w:hAnsi="Times New Roman"/>
          <w:sz w:val="24"/>
          <w:szCs w:val="24"/>
        </w:rPr>
        <w:t>Baiba Lielpētere</w:t>
      </w:r>
      <w:r>
        <w:rPr>
          <w:rFonts w:ascii="Times New Roman" w:hAnsi="Times New Roman"/>
          <w:sz w:val="24"/>
          <w:szCs w:val="24"/>
        </w:rPr>
        <w:tab/>
      </w:r>
    </w:p>
    <w:p w14:paraId="102A8CF4" w14:textId="5C936EA1" w:rsidR="006918EF" w:rsidRDefault="006918EF" w:rsidP="00F62747">
      <w:pPr>
        <w:tabs>
          <w:tab w:val="left" w:pos="-2977"/>
          <w:tab w:val="left" w:pos="6237"/>
        </w:tabs>
        <w:spacing w:after="0" w:line="360" w:lineRule="auto"/>
        <w:rPr>
          <w:rFonts w:ascii="Times New Roman" w:hAnsi="Times New Roman"/>
          <w:sz w:val="24"/>
          <w:szCs w:val="24"/>
        </w:rPr>
      </w:pPr>
      <w:r>
        <w:rPr>
          <w:rFonts w:ascii="Times New Roman" w:hAnsi="Times New Roman"/>
          <w:sz w:val="24"/>
          <w:szCs w:val="24"/>
        </w:rPr>
        <w:tab/>
        <w:t>Guntars Ploriņš</w:t>
      </w:r>
      <w:r>
        <w:rPr>
          <w:rFonts w:ascii="Times New Roman" w:hAnsi="Times New Roman"/>
          <w:sz w:val="24"/>
          <w:szCs w:val="24"/>
        </w:rPr>
        <w:tab/>
      </w:r>
    </w:p>
    <w:p w14:paraId="4B6E2C7B" w14:textId="77777777" w:rsidR="006918EF" w:rsidRDefault="006918EF" w:rsidP="00F62747">
      <w:pPr>
        <w:tabs>
          <w:tab w:val="left" w:pos="-2977"/>
          <w:tab w:val="left" w:pos="6237"/>
        </w:tabs>
        <w:spacing w:after="0" w:line="360" w:lineRule="auto"/>
        <w:rPr>
          <w:rFonts w:ascii="Times New Roman" w:hAnsi="Times New Roman"/>
          <w:sz w:val="24"/>
          <w:szCs w:val="24"/>
        </w:rPr>
      </w:pPr>
      <w:r>
        <w:rPr>
          <w:rFonts w:ascii="Times New Roman" w:hAnsi="Times New Roman"/>
          <w:sz w:val="24"/>
          <w:szCs w:val="24"/>
        </w:rPr>
        <w:tab/>
        <w:t>Dace Skrauple</w:t>
      </w:r>
    </w:p>
    <w:sectPr w:rsidR="006918EF" w:rsidSect="00F62747">
      <w:footerReference w:type="default" r:id="rId7"/>
      <w:pgSz w:w="11906" w:h="16838"/>
      <w:pgMar w:top="1134" w:right="1134" w:bottom="1134" w:left="1701" w:header="130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ADCFA" w14:textId="77777777" w:rsidR="000D14D2" w:rsidRDefault="000D14D2" w:rsidP="00DC297E">
      <w:pPr>
        <w:spacing w:after="0" w:line="240" w:lineRule="auto"/>
      </w:pPr>
      <w:r>
        <w:separator/>
      </w:r>
    </w:p>
  </w:endnote>
  <w:endnote w:type="continuationSeparator" w:id="0">
    <w:p w14:paraId="54665472" w14:textId="77777777" w:rsidR="000D14D2" w:rsidRDefault="000D14D2" w:rsidP="00DC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211755"/>
      <w:docPartObj>
        <w:docPartGallery w:val="Page Numbers (Bottom of Page)"/>
        <w:docPartUnique/>
      </w:docPartObj>
    </w:sdtPr>
    <w:sdtEndPr>
      <w:rPr>
        <w:rFonts w:ascii="Times New Roman" w:hAnsi="Times New Roman"/>
      </w:rPr>
    </w:sdtEndPr>
    <w:sdtContent>
      <w:p w14:paraId="38C72AB5" w14:textId="5B884D52" w:rsidR="00F62747" w:rsidRPr="00F62747" w:rsidRDefault="00F62747">
        <w:pPr>
          <w:pStyle w:val="Kjene"/>
          <w:jc w:val="center"/>
          <w:rPr>
            <w:rFonts w:ascii="Times New Roman" w:hAnsi="Times New Roman"/>
          </w:rPr>
        </w:pPr>
        <w:r w:rsidRPr="00F62747">
          <w:rPr>
            <w:rFonts w:ascii="Times New Roman" w:hAnsi="Times New Roman"/>
          </w:rPr>
          <w:fldChar w:fldCharType="begin"/>
        </w:r>
        <w:r w:rsidRPr="00F62747">
          <w:rPr>
            <w:rFonts w:ascii="Times New Roman" w:hAnsi="Times New Roman"/>
          </w:rPr>
          <w:instrText>PAGE   \* MERGEFORMAT</w:instrText>
        </w:r>
        <w:r w:rsidRPr="00F62747">
          <w:rPr>
            <w:rFonts w:ascii="Times New Roman" w:hAnsi="Times New Roman"/>
          </w:rPr>
          <w:fldChar w:fldCharType="separate"/>
        </w:r>
        <w:r w:rsidRPr="00F62747">
          <w:rPr>
            <w:rFonts w:ascii="Times New Roman" w:hAnsi="Times New Roman"/>
          </w:rPr>
          <w:t>2</w:t>
        </w:r>
        <w:r w:rsidRPr="00F62747">
          <w:rPr>
            <w:rFonts w:ascii="Times New Roman" w:hAnsi="Times New Roman"/>
          </w:rPr>
          <w:fldChar w:fldCharType="end"/>
        </w:r>
      </w:p>
    </w:sdtContent>
  </w:sdt>
  <w:p w14:paraId="3A2427AA" w14:textId="77777777" w:rsidR="00DC297E" w:rsidRDefault="00DC29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6945F" w14:textId="77777777" w:rsidR="000D14D2" w:rsidRDefault="000D14D2" w:rsidP="00DC297E">
      <w:pPr>
        <w:spacing w:after="0" w:line="240" w:lineRule="auto"/>
      </w:pPr>
      <w:r>
        <w:separator/>
      </w:r>
    </w:p>
  </w:footnote>
  <w:footnote w:type="continuationSeparator" w:id="0">
    <w:p w14:paraId="24D39540" w14:textId="77777777" w:rsidR="000D14D2" w:rsidRDefault="000D14D2" w:rsidP="00DC29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BC"/>
    <w:rsid w:val="000520D6"/>
    <w:rsid w:val="00071B3E"/>
    <w:rsid w:val="000D14D2"/>
    <w:rsid w:val="000E45AE"/>
    <w:rsid w:val="00131454"/>
    <w:rsid w:val="00197939"/>
    <w:rsid w:val="001B020D"/>
    <w:rsid w:val="001B4590"/>
    <w:rsid w:val="001C166F"/>
    <w:rsid w:val="001D1EEE"/>
    <w:rsid w:val="00291EE8"/>
    <w:rsid w:val="002C29E2"/>
    <w:rsid w:val="002E373A"/>
    <w:rsid w:val="0030444B"/>
    <w:rsid w:val="003170BD"/>
    <w:rsid w:val="00337CFC"/>
    <w:rsid w:val="003552A6"/>
    <w:rsid w:val="00362FDE"/>
    <w:rsid w:val="00390E16"/>
    <w:rsid w:val="003B003C"/>
    <w:rsid w:val="003F1D0C"/>
    <w:rsid w:val="00430904"/>
    <w:rsid w:val="00446ACF"/>
    <w:rsid w:val="004A1A02"/>
    <w:rsid w:val="004C1E01"/>
    <w:rsid w:val="004C5105"/>
    <w:rsid w:val="004D49B3"/>
    <w:rsid w:val="00510EB4"/>
    <w:rsid w:val="00576897"/>
    <w:rsid w:val="005A3202"/>
    <w:rsid w:val="005A33BC"/>
    <w:rsid w:val="005D1932"/>
    <w:rsid w:val="005E2BF2"/>
    <w:rsid w:val="0061070A"/>
    <w:rsid w:val="00613045"/>
    <w:rsid w:val="006528A7"/>
    <w:rsid w:val="00672542"/>
    <w:rsid w:val="006918EF"/>
    <w:rsid w:val="006B40B9"/>
    <w:rsid w:val="006D5031"/>
    <w:rsid w:val="006F0128"/>
    <w:rsid w:val="00723BA0"/>
    <w:rsid w:val="0073106F"/>
    <w:rsid w:val="00732704"/>
    <w:rsid w:val="00764D98"/>
    <w:rsid w:val="007B048E"/>
    <w:rsid w:val="007B0793"/>
    <w:rsid w:val="007D277F"/>
    <w:rsid w:val="007E0E02"/>
    <w:rsid w:val="008A7518"/>
    <w:rsid w:val="008B148E"/>
    <w:rsid w:val="008B75EC"/>
    <w:rsid w:val="008E14F8"/>
    <w:rsid w:val="00923174"/>
    <w:rsid w:val="009319DE"/>
    <w:rsid w:val="0093673A"/>
    <w:rsid w:val="009520B5"/>
    <w:rsid w:val="00953688"/>
    <w:rsid w:val="00965E5C"/>
    <w:rsid w:val="009854AE"/>
    <w:rsid w:val="009A1CD3"/>
    <w:rsid w:val="00A11404"/>
    <w:rsid w:val="00A5015D"/>
    <w:rsid w:val="00A51113"/>
    <w:rsid w:val="00AD5482"/>
    <w:rsid w:val="00AD5D41"/>
    <w:rsid w:val="00BA2A43"/>
    <w:rsid w:val="00BD7CCE"/>
    <w:rsid w:val="00BE657A"/>
    <w:rsid w:val="00C21D65"/>
    <w:rsid w:val="00C34BFC"/>
    <w:rsid w:val="00C9074A"/>
    <w:rsid w:val="00C94FB8"/>
    <w:rsid w:val="00CA16AE"/>
    <w:rsid w:val="00CC6FC8"/>
    <w:rsid w:val="00CE0FE2"/>
    <w:rsid w:val="00D054FB"/>
    <w:rsid w:val="00D305D0"/>
    <w:rsid w:val="00D36209"/>
    <w:rsid w:val="00DC0457"/>
    <w:rsid w:val="00DC297E"/>
    <w:rsid w:val="00DD7EAF"/>
    <w:rsid w:val="00E1027F"/>
    <w:rsid w:val="00E227C1"/>
    <w:rsid w:val="00E2310D"/>
    <w:rsid w:val="00EC363F"/>
    <w:rsid w:val="00EE7032"/>
    <w:rsid w:val="00F21D24"/>
    <w:rsid w:val="00F44C60"/>
    <w:rsid w:val="00F5181D"/>
    <w:rsid w:val="00F62747"/>
    <w:rsid w:val="00F66649"/>
    <w:rsid w:val="00F67F14"/>
    <w:rsid w:val="00F71A69"/>
    <w:rsid w:val="00FE31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A9FE"/>
  <w15:chartTrackingRefBased/>
  <w15:docId w15:val="{1945342D-29E1-4331-83C8-424CEB74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A33BC"/>
    <w:pPr>
      <w:spacing w:after="200" w:line="276" w:lineRule="auto"/>
    </w:pPr>
    <w:rPr>
      <w:rFonts w:ascii="Calibri" w:eastAsia="Calibri" w:hAnsi="Calibri" w:cs="Times New Roman"/>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5A33BC"/>
    <w:pPr>
      <w:spacing w:after="0" w:line="240" w:lineRule="auto"/>
    </w:pPr>
    <w:rPr>
      <w:rFonts w:ascii="Calibri" w:eastAsia="Calibri" w:hAnsi="Calibri" w:cs="Times New Roman"/>
      <w:sz w:val="22"/>
    </w:rPr>
  </w:style>
  <w:style w:type="paragraph" w:styleId="Pamattekstsaratkpi">
    <w:name w:val="Body Text Indent"/>
    <w:basedOn w:val="Parasts"/>
    <w:link w:val="PamattekstsaratkpiRakstz"/>
    <w:uiPriority w:val="99"/>
    <w:rsid w:val="00F71A69"/>
    <w:pPr>
      <w:spacing w:after="0" w:line="360" w:lineRule="auto"/>
      <w:ind w:firstLine="720"/>
      <w:jc w:val="both"/>
    </w:pPr>
    <w:rPr>
      <w:rFonts w:ascii="Times New Roman" w:eastAsia="Times New Roman" w:hAnsi="Times New Roman"/>
      <w:sz w:val="28"/>
      <w:szCs w:val="20"/>
      <w:lang w:eastAsia="lv-LV"/>
    </w:rPr>
  </w:style>
  <w:style w:type="character" w:customStyle="1" w:styleId="PamattekstsaratkpiRakstz">
    <w:name w:val="Pamatteksts ar atkāpi Rakstz."/>
    <w:basedOn w:val="Noklusjumarindkopasfonts"/>
    <w:link w:val="Pamattekstsaratkpi"/>
    <w:uiPriority w:val="99"/>
    <w:rsid w:val="00F71A69"/>
    <w:rPr>
      <w:rFonts w:eastAsia="Times New Roman" w:cs="Times New Roman"/>
      <w:sz w:val="28"/>
      <w:szCs w:val="20"/>
      <w:lang w:eastAsia="lv-LV"/>
    </w:rPr>
  </w:style>
  <w:style w:type="paragraph" w:styleId="Paraststmeklis">
    <w:name w:val="Normal (Web)"/>
    <w:basedOn w:val="Parasts"/>
    <w:uiPriority w:val="99"/>
    <w:semiHidden/>
    <w:unhideWhenUsed/>
    <w:rsid w:val="005A3202"/>
    <w:pPr>
      <w:spacing w:before="100" w:beforeAutospacing="1" w:after="100" w:afterAutospacing="1" w:line="240" w:lineRule="auto"/>
    </w:pPr>
    <w:rPr>
      <w:rFonts w:ascii="Times New Roman" w:eastAsia="Times New Roman" w:hAnsi="Times New Roman"/>
      <w:sz w:val="24"/>
      <w:szCs w:val="24"/>
      <w:lang w:eastAsia="lv-LV"/>
    </w:rPr>
  </w:style>
  <w:style w:type="paragraph" w:styleId="Balonteksts">
    <w:name w:val="Balloon Text"/>
    <w:basedOn w:val="Parasts"/>
    <w:link w:val="BalontekstsRakstz"/>
    <w:uiPriority w:val="99"/>
    <w:semiHidden/>
    <w:unhideWhenUsed/>
    <w:rsid w:val="00DC297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C297E"/>
    <w:rPr>
      <w:rFonts w:ascii="Segoe UI" w:eastAsia="Calibri" w:hAnsi="Segoe UI" w:cs="Segoe UI"/>
      <w:sz w:val="18"/>
      <w:szCs w:val="18"/>
    </w:rPr>
  </w:style>
  <w:style w:type="paragraph" w:styleId="Galvene">
    <w:name w:val="header"/>
    <w:basedOn w:val="Parasts"/>
    <w:link w:val="GalveneRakstz"/>
    <w:uiPriority w:val="99"/>
    <w:unhideWhenUsed/>
    <w:rsid w:val="00DC297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C297E"/>
    <w:rPr>
      <w:rFonts w:ascii="Calibri" w:eastAsia="Calibri" w:hAnsi="Calibri" w:cs="Times New Roman"/>
      <w:sz w:val="22"/>
    </w:rPr>
  </w:style>
  <w:style w:type="paragraph" w:styleId="Kjene">
    <w:name w:val="footer"/>
    <w:basedOn w:val="Parasts"/>
    <w:link w:val="KjeneRakstz"/>
    <w:uiPriority w:val="99"/>
    <w:unhideWhenUsed/>
    <w:rsid w:val="00DC297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C297E"/>
    <w:rPr>
      <w:rFonts w:ascii="Calibri" w:eastAsia="Calibri" w:hAnsi="Calibri" w:cs="Times New Roman"/>
      <w:sz w:val="22"/>
    </w:rPr>
  </w:style>
  <w:style w:type="character" w:styleId="Komentraatsauce">
    <w:name w:val="annotation reference"/>
    <w:basedOn w:val="Noklusjumarindkopasfonts"/>
    <w:uiPriority w:val="99"/>
    <w:semiHidden/>
    <w:unhideWhenUsed/>
    <w:rsid w:val="00A5015D"/>
    <w:rPr>
      <w:sz w:val="16"/>
      <w:szCs w:val="16"/>
    </w:rPr>
  </w:style>
  <w:style w:type="paragraph" w:styleId="Komentrateksts">
    <w:name w:val="annotation text"/>
    <w:basedOn w:val="Parasts"/>
    <w:link w:val="KomentratekstsRakstz"/>
    <w:uiPriority w:val="99"/>
    <w:semiHidden/>
    <w:unhideWhenUsed/>
    <w:rsid w:val="00A5015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5015D"/>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A5015D"/>
    <w:rPr>
      <w:b/>
      <w:bCs/>
    </w:rPr>
  </w:style>
  <w:style w:type="character" w:customStyle="1" w:styleId="KomentratmaRakstz">
    <w:name w:val="Komentāra tēma Rakstz."/>
    <w:basedOn w:val="KomentratekstsRakstz"/>
    <w:link w:val="Komentratma"/>
    <w:uiPriority w:val="99"/>
    <w:semiHidden/>
    <w:rsid w:val="00A5015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860525">
      <w:bodyDiv w:val="1"/>
      <w:marLeft w:val="0"/>
      <w:marRight w:val="0"/>
      <w:marTop w:val="0"/>
      <w:marBottom w:val="0"/>
      <w:divBdr>
        <w:top w:val="none" w:sz="0" w:space="0" w:color="auto"/>
        <w:left w:val="none" w:sz="0" w:space="0" w:color="auto"/>
        <w:bottom w:val="none" w:sz="0" w:space="0" w:color="auto"/>
        <w:right w:val="none" w:sz="0" w:space="0" w:color="auto"/>
      </w:divBdr>
    </w:div>
    <w:div w:id="1402799754">
      <w:bodyDiv w:val="1"/>
      <w:marLeft w:val="0"/>
      <w:marRight w:val="0"/>
      <w:marTop w:val="0"/>
      <w:marBottom w:val="0"/>
      <w:divBdr>
        <w:top w:val="none" w:sz="0" w:space="0" w:color="auto"/>
        <w:left w:val="none" w:sz="0" w:space="0" w:color="auto"/>
        <w:bottom w:val="none" w:sz="0" w:space="0" w:color="auto"/>
        <w:right w:val="none" w:sz="0" w:space="0" w:color="auto"/>
      </w:divBdr>
    </w:div>
    <w:div w:id="194584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4FDB3-A386-457B-9FB6-6FC032ECE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5389</Words>
  <Characters>3072</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Normunds Salenieks</dc:creator>
  <cp:keywords/>
  <dc:description/>
  <cp:lastModifiedBy>Indra Kārkliņa</cp:lastModifiedBy>
  <cp:revision>5</cp:revision>
  <cp:lastPrinted>2018-03-15T06:55:00Z</cp:lastPrinted>
  <dcterms:created xsi:type="dcterms:W3CDTF">2018-03-22T09:52:00Z</dcterms:created>
  <dcterms:modified xsi:type="dcterms:W3CDTF">2018-10-09T13:11:00Z</dcterms:modified>
</cp:coreProperties>
</file>