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0C7D6" w14:textId="77777777" w:rsidR="00585E43" w:rsidRPr="00D312C8" w:rsidRDefault="007A382C" w:rsidP="00D312C8">
      <w:pPr>
        <w:spacing w:after="0" w:line="276" w:lineRule="auto"/>
        <w:jc w:val="center"/>
        <w:rPr>
          <w:rFonts w:ascii="Times New Roman" w:hAnsi="Times New Roman" w:cs="Times New Roman"/>
          <w:b/>
          <w:bCs/>
          <w:sz w:val="24"/>
          <w:szCs w:val="24"/>
        </w:rPr>
      </w:pPr>
      <w:bookmarkStart w:id="0" w:name="_GoBack"/>
      <w:bookmarkEnd w:id="0"/>
      <w:r w:rsidRPr="00D312C8">
        <w:rPr>
          <w:rFonts w:ascii="Times New Roman" w:hAnsi="Times New Roman" w:cs="Times New Roman"/>
          <w:b/>
          <w:bCs/>
          <w:sz w:val="24"/>
          <w:szCs w:val="24"/>
        </w:rPr>
        <w:t>Tiesnešu ētikas komisija</w:t>
      </w:r>
    </w:p>
    <w:p w14:paraId="2C5F4B30" w14:textId="77777777" w:rsidR="007A382C" w:rsidRPr="00D312C8" w:rsidRDefault="007A382C" w:rsidP="00D312C8">
      <w:pPr>
        <w:spacing w:after="0" w:line="276" w:lineRule="auto"/>
        <w:jc w:val="center"/>
        <w:rPr>
          <w:rFonts w:ascii="Times New Roman" w:hAnsi="Times New Roman" w:cs="Times New Roman"/>
          <w:sz w:val="24"/>
          <w:szCs w:val="24"/>
        </w:rPr>
      </w:pPr>
      <w:r w:rsidRPr="00D312C8">
        <w:rPr>
          <w:rFonts w:ascii="Times New Roman" w:hAnsi="Times New Roman" w:cs="Times New Roman"/>
          <w:b/>
          <w:sz w:val="24"/>
          <w:szCs w:val="24"/>
        </w:rPr>
        <w:t>A T Z I N U M S</w:t>
      </w:r>
    </w:p>
    <w:p w14:paraId="5ED4403C" w14:textId="77777777" w:rsidR="007A382C" w:rsidRPr="00D312C8" w:rsidRDefault="007A382C" w:rsidP="00D312C8">
      <w:pPr>
        <w:spacing w:after="0" w:line="276" w:lineRule="auto"/>
        <w:rPr>
          <w:rFonts w:ascii="Times New Roman" w:hAnsi="Times New Roman" w:cs="Times New Roman"/>
          <w:sz w:val="24"/>
          <w:szCs w:val="24"/>
        </w:rPr>
      </w:pPr>
    </w:p>
    <w:p w14:paraId="0FB128CC" w14:textId="294CF453" w:rsidR="007A382C" w:rsidRPr="00D312C8" w:rsidRDefault="00025FD0" w:rsidP="00D312C8">
      <w:pPr>
        <w:spacing w:after="0" w:line="276" w:lineRule="auto"/>
        <w:rPr>
          <w:rFonts w:ascii="Times New Roman" w:hAnsi="Times New Roman" w:cs="Times New Roman"/>
          <w:sz w:val="24"/>
          <w:szCs w:val="24"/>
        </w:rPr>
      </w:pPr>
      <w:r w:rsidRPr="00D312C8">
        <w:rPr>
          <w:rFonts w:ascii="Times New Roman" w:hAnsi="Times New Roman" w:cs="Times New Roman"/>
          <w:sz w:val="24"/>
          <w:szCs w:val="24"/>
        </w:rPr>
        <w:t>Rīgā</w:t>
      </w:r>
      <w:r w:rsidRPr="00D312C8">
        <w:rPr>
          <w:rFonts w:ascii="Times New Roman" w:hAnsi="Times New Roman" w:cs="Times New Roman"/>
          <w:sz w:val="24"/>
          <w:szCs w:val="24"/>
        </w:rPr>
        <w:tab/>
      </w:r>
      <w:r w:rsidRPr="00D312C8">
        <w:rPr>
          <w:rFonts w:ascii="Times New Roman" w:hAnsi="Times New Roman" w:cs="Times New Roman"/>
          <w:sz w:val="24"/>
          <w:szCs w:val="24"/>
        </w:rPr>
        <w:tab/>
      </w:r>
      <w:r w:rsidRPr="00D312C8">
        <w:rPr>
          <w:rFonts w:ascii="Times New Roman" w:hAnsi="Times New Roman" w:cs="Times New Roman"/>
          <w:sz w:val="24"/>
          <w:szCs w:val="24"/>
        </w:rPr>
        <w:tab/>
      </w:r>
      <w:r w:rsidRPr="00D312C8">
        <w:rPr>
          <w:rFonts w:ascii="Times New Roman" w:hAnsi="Times New Roman" w:cs="Times New Roman"/>
          <w:sz w:val="24"/>
          <w:szCs w:val="24"/>
        </w:rPr>
        <w:tab/>
      </w:r>
      <w:r w:rsidRPr="00D312C8">
        <w:rPr>
          <w:rFonts w:ascii="Times New Roman" w:hAnsi="Times New Roman" w:cs="Times New Roman"/>
          <w:sz w:val="24"/>
          <w:szCs w:val="24"/>
        </w:rPr>
        <w:tab/>
      </w:r>
      <w:r w:rsidRPr="00D312C8">
        <w:rPr>
          <w:rFonts w:ascii="Times New Roman" w:hAnsi="Times New Roman" w:cs="Times New Roman"/>
          <w:sz w:val="24"/>
          <w:szCs w:val="24"/>
        </w:rPr>
        <w:tab/>
      </w:r>
      <w:r w:rsidRPr="00D312C8">
        <w:rPr>
          <w:rFonts w:ascii="Times New Roman" w:hAnsi="Times New Roman" w:cs="Times New Roman"/>
          <w:sz w:val="24"/>
          <w:szCs w:val="24"/>
        </w:rPr>
        <w:tab/>
      </w:r>
      <w:r w:rsidRPr="00D312C8">
        <w:rPr>
          <w:rFonts w:ascii="Times New Roman" w:hAnsi="Times New Roman" w:cs="Times New Roman"/>
          <w:sz w:val="24"/>
          <w:szCs w:val="24"/>
        </w:rPr>
        <w:tab/>
      </w:r>
      <w:r w:rsidRPr="00D312C8">
        <w:rPr>
          <w:rFonts w:ascii="Times New Roman" w:hAnsi="Times New Roman" w:cs="Times New Roman"/>
          <w:sz w:val="24"/>
          <w:szCs w:val="24"/>
        </w:rPr>
        <w:tab/>
      </w:r>
      <w:r w:rsidR="00C0149E" w:rsidRPr="00D312C8">
        <w:rPr>
          <w:rFonts w:ascii="Times New Roman" w:hAnsi="Times New Roman" w:cs="Times New Roman"/>
          <w:sz w:val="24"/>
          <w:szCs w:val="24"/>
        </w:rPr>
        <w:tab/>
      </w:r>
      <w:r w:rsidR="00E2082D" w:rsidRPr="00D312C8">
        <w:rPr>
          <w:rFonts w:ascii="Times New Roman" w:hAnsi="Times New Roman" w:cs="Times New Roman"/>
          <w:sz w:val="24"/>
          <w:szCs w:val="24"/>
        </w:rPr>
        <w:t>20</w:t>
      </w:r>
      <w:r w:rsidR="00EE1FCD" w:rsidRPr="00D312C8">
        <w:rPr>
          <w:rFonts w:ascii="Times New Roman" w:hAnsi="Times New Roman" w:cs="Times New Roman"/>
          <w:sz w:val="24"/>
          <w:szCs w:val="24"/>
        </w:rPr>
        <w:t>20</w:t>
      </w:r>
      <w:r w:rsidR="00E2082D" w:rsidRPr="00D312C8">
        <w:rPr>
          <w:rFonts w:ascii="Times New Roman" w:hAnsi="Times New Roman" w:cs="Times New Roman"/>
          <w:sz w:val="24"/>
          <w:szCs w:val="24"/>
        </w:rPr>
        <w:t xml:space="preserve">.gada </w:t>
      </w:r>
      <w:r w:rsidR="00EE1FCD" w:rsidRPr="00D312C8">
        <w:rPr>
          <w:rFonts w:ascii="Times New Roman" w:hAnsi="Times New Roman" w:cs="Times New Roman"/>
          <w:sz w:val="24"/>
          <w:szCs w:val="24"/>
        </w:rPr>
        <w:t>8.maijā</w:t>
      </w:r>
    </w:p>
    <w:p w14:paraId="0DCF79FF" w14:textId="77777777" w:rsidR="00633990" w:rsidRPr="00D312C8" w:rsidRDefault="00633990" w:rsidP="00D312C8">
      <w:pPr>
        <w:spacing w:after="0" w:line="276" w:lineRule="auto"/>
        <w:jc w:val="both"/>
        <w:rPr>
          <w:rFonts w:ascii="Times New Roman" w:hAnsi="Times New Roman" w:cs="Times New Roman"/>
          <w:sz w:val="24"/>
          <w:szCs w:val="24"/>
        </w:rPr>
      </w:pPr>
    </w:p>
    <w:p w14:paraId="18719390" w14:textId="439FFE72" w:rsidR="00CB3900" w:rsidRPr="00D312C8" w:rsidRDefault="002141C1" w:rsidP="00D312C8">
      <w:pPr>
        <w:spacing w:after="0" w:line="276" w:lineRule="auto"/>
        <w:ind w:firstLine="709"/>
        <w:jc w:val="both"/>
        <w:rPr>
          <w:rFonts w:ascii="Times New Roman" w:hAnsi="Times New Roman" w:cs="Times New Roman"/>
          <w:sz w:val="24"/>
          <w:szCs w:val="24"/>
        </w:rPr>
      </w:pPr>
      <w:r w:rsidRPr="00D312C8">
        <w:rPr>
          <w:rFonts w:ascii="Times New Roman" w:hAnsi="Times New Roman" w:cs="Times New Roman"/>
          <w:sz w:val="24"/>
          <w:szCs w:val="24"/>
        </w:rPr>
        <w:t>[1]</w:t>
      </w:r>
      <w:r w:rsidR="00633990" w:rsidRPr="00D312C8">
        <w:rPr>
          <w:rFonts w:ascii="Times New Roman" w:hAnsi="Times New Roman" w:cs="Times New Roman"/>
          <w:sz w:val="24"/>
          <w:szCs w:val="24"/>
        </w:rPr>
        <w:t xml:space="preserve"> Tiesnešu ētikas komisija ir saņēmusi tiesas priekšsēdētāja </w:t>
      </w:r>
      <w:r w:rsidR="0016587D" w:rsidRPr="00D312C8">
        <w:rPr>
          <w:rFonts w:ascii="Times New Roman" w:hAnsi="Times New Roman" w:cs="Times New Roman"/>
          <w:sz w:val="24"/>
          <w:szCs w:val="24"/>
        </w:rPr>
        <w:t>pieprasījumu</w:t>
      </w:r>
      <w:r w:rsidR="00633990" w:rsidRPr="00D312C8">
        <w:rPr>
          <w:rFonts w:ascii="Times New Roman" w:hAnsi="Times New Roman" w:cs="Times New Roman"/>
          <w:sz w:val="24"/>
          <w:szCs w:val="24"/>
        </w:rPr>
        <w:t xml:space="preserve"> sniegt atzinumu par tiesneses iespējamiem ētikas normu pārkāpumiem tiesas sēdē kur tika skatīts jautājums par </w:t>
      </w:r>
      <w:r w:rsidR="0028066B">
        <w:rPr>
          <w:rFonts w:ascii="Times New Roman" w:hAnsi="Times New Roman" w:cs="Times New Roman"/>
          <w:sz w:val="24"/>
          <w:szCs w:val="24"/>
        </w:rPr>
        <w:t>B.D.</w:t>
      </w:r>
      <w:r w:rsidR="00633990" w:rsidRPr="00D312C8">
        <w:rPr>
          <w:rFonts w:ascii="Times New Roman" w:hAnsi="Times New Roman" w:cs="Times New Roman"/>
          <w:sz w:val="24"/>
          <w:szCs w:val="24"/>
        </w:rPr>
        <w:t xml:space="preserve"> nosacītu pirmstermiņa atbrīvošanu no pamatsoda izciešanas.</w:t>
      </w:r>
    </w:p>
    <w:p w14:paraId="1B714516" w14:textId="77777777" w:rsidR="00CB3900" w:rsidRPr="00D312C8" w:rsidRDefault="0016587D" w:rsidP="00D312C8">
      <w:pPr>
        <w:spacing w:after="0" w:line="276" w:lineRule="auto"/>
        <w:ind w:firstLine="709"/>
        <w:jc w:val="both"/>
        <w:rPr>
          <w:rFonts w:ascii="Times New Roman" w:hAnsi="Times New Roman" w:cs="Times New Roman"/>
          <w:sz w:val="24"/>
          <w:szCs w:val="24"/>
        </w:rPr>
      </w:pPr>
      <w:r w:rsidRPr="00D312C8">
        <w:rPr>
          <w:rFonts w:ascii="Times New Roman" w:hAnsi="Times New Roman" w:cs="Times New Roman"/>
          <w:sz w:val="24"/>
          <w:szCs w:val="24"/>
        </w:rPr>
        <w:t xml:space="preserve">Pieprasījumā </w:t>
      </w:r>
      <w:r w:rsidR="00633990" w:rsidRPr="00D312C8">
        <w:rPr>
          <w:rFonts w:ascii="Times New Roman" w:hAnsi="Times New Roman" w:cs="Times New Roman"/>
          <w:sz w:val="24"/>
          <w:szCs w:val="24"/>
        </w:rPr>
        <w:t>ir norādīts, ka tiesneses tiesas sēdes vadības stils, izturēšanās pret notiesāto un uzdotie jautājumi, visticamāk, neatbilst tiesnešu ētikas normām. Rakstveida paskaidrojumos tiesas priekšsēdētājam tiesnese ir norādījusi, ka viņas uzdotie jautājumi nav bijuši aizskaroši, kas tiesas priekšsēdētājam licis secināt, ka tiesnese savā rīcībā ētikas normu pārkāpumus nesaskata. Tiesas priekšsēdētājs norāda uz to, ka arī iepriekš ar tiesnesi ir apspriesti jautājumi par tiesas sēdes vadības stilu un nepieciešamību precīzāk pieturēties pie formālā procesa regulējuma.</w:t>
      </w:r>
    </w:p>
    <w:p w14:paraId="41137E8F" w14:textId="2CC25926" w:rsidR="00EE1FCD" w:rsidRPr="00D312C8" w:rsidRDefault="00D312C8" w:rsidP="00D312C8">
      <w:pPr>
        <w:spacing w:after="0" w:line="276" w:lineRule="auto"/>
        <w:ind w:firstLine="709"/>
        <w:jc w:val="both"/>
        <w:rPr>
          <w:rFonts w:ascii="Times New Roman" w:hAnsi="Times New Roman" w:cs="Times New Roman"/>
          <w:sz w:val="24"/>
          <w:szCs w:val="24"/>
        </w:rPr>
      </w:pPr>
      <w:r w:rsidRPr="00D312C8">
        <w:rPr>
          <w:rFonts w:ascii="Times New Roman" w:hAnsi="Times New Roman" w:cs="Times New Roman"/>
          <w:sz w:val="24"/>
          <w:szCs w:val="24"/>
        </w:rPr>
        <w:t xml:space="preserve">Vienlaikus </w:t>
      </w:r>
      <w:r w:rsidR="00EE1FCD" w:rsidRPr="00D312C8">
        <w:rPr>
          <w:rFonts w:ascii="Times New Roman" w:hAnsi="Times New Roman" w:cs="Times New Roman"/>
          <w:sz w:val="24"/>
          <w:szCs w:val="24"/>
        </w:rPr>
        <w:t xml:space="preserve">Tiesnešu ētikas komisija ir saņēmusi </w:t>
      </w:r>
      <w:r w:rsidR="00633990" w:rsidRPr="00D312C8">
        <w:rPr>
          <w:rFonts w:ascii="Times New Roman" w:hAnsi="Times New Roman" w:cs="Times New Roman"/>
          <w:sz w:val="24"/>
          <w:szCs w:val="24"/>
        </w:rPr>
        <w:t xml:space="preserve">arī </w:t>
      </w:r>
      <w:r w:rsidR="00EE1FCD" w:rsidRPr="00D312C8">
        <w:rPr>
          <w:rFonts w:ascii="Times New Roman" w:hAnsi="Times New Roman" w:cs="Times New Roman"/>
          <w:sz w:val="24"/>
          <w:szCs w:val="24"/>
        </w:rPr>
        <w:t xml:space="preserve">Tieslietu ministrijas pārsūtītu </w:t>
      </w:r>
      <w:r w:rsidR="0028066B">
        <w:rPr>
          <w:rFonts w:ascii="Times New Roman" w:hAnsi="Times New Roman" w:cs="Times New Roman"/>
          <w:sz w:val="24"/>
          <w:szCs w:val="24"/>
        </w:rPr>
        <w:t>B.D.</w:t>
      </w:r>
      <w:r w:rsidR="00EE1FCD" w:rsidRPr="00D312C8">
        <w:rPr>
          <w:rFonts w:ascii="Times New Roman" w:hAnsi="Times New Roman" w:cs="Times New Roman"/>
          <w:sz w:val="24"/>
          <w:szCs w:val="24"/>
        </w:rPr>
        <w:t xml:space="preserve"> iesniegumu par tiesneses iespējamiem ētikas normu pārkāpumiem</w:t>
      </w:r>
      <w:r w:rsidR="00C0149E" w:rsidRPr="00D312C8">
        <w:rPr>
          <w:rFonts w:ascii="Times New Roman" w:hAnsi="Times New Roman" w:cs="Times New Roman"/>
          <w:sz w:val="24"/>
          <w:szCs w:val="24"/>
        </w:rPr>
        <w:t xml:space="preserve"> jau minētajā </w:t>
      </w:r>
      <w:r w:rsidR="00EE1FCD" w:rsidRPr="00D312C8">
        <w:rPr>
          <w:rFonts w:ascii="Times New Roman" w:hAnsi="Times New Roman" w:cs="Times New Roman"/>
          <w:sz w:val="24"/>
          <w:szCs w:val="24"/>
        </w:rPr>
        <w:t xml:space="preserve">tiesas sēdē. Tieslietu ministrija, iepazīstoties ar </w:t>
      </w:r>
      <w:r w:rsidR="0028066B">
        <w:rPr>
          <w:rFonts w:ascii="Times New Roman" w:hAnsi="Times New Roman" w:cs="Times New Roman"/>
          <w:sz w:val="24"/>
          <w:szCs w:val="24"/>
        </w:rPr>
        <w:t>B.D.</w:t>
      </w:r>
      <w:r w:rsidR="00EE1FCD" w:rsidRPr="00D312C8">
        <w:rPr>
          <w:rFonts w:ascii="Times New Roman" w:hAnsi="Times New Roman" w:cs="Times New Roman"/>
          <w:sz w:val="24"/>
          <w:szCs w:val="24"/>
        </w:rPr>
        <w:t xml:space="preserve"> iesniegumu un noklausoties attiecīgās tiesas sēdes ierakstu, no tiesneses izteikumiem secinājusi, ka tiesneses uzvedībā un rīcībā tiesas sēdē </w:t>
      </w:r>
      <w:proofErr w:type="spellStart"/>
      <w:r w:rsidR="00EE1FCD" w:rsidRPr="00D312C8">
        <w:rPr>
          <w:rFonts w:ascii="Times New Roman" w:hAnsi="Times New Roman" w:cs="Times New Roman"/>
          <w:sz w:val="24"/>
          <w:szCs w:val="24"/>
        </w:rPr>
        <w:t>pirmšķietami</w:t>
      </w:r>
      <w:proofErr w:type="spellEnd"/>
      <w:r w:rsidR="00EE1FCD" w:rsidRPr="00D312C8">
        <w:rPr>
          <w:rFonts w:ascii="Times New Roman" w:hAnsi="Times New Roman" w:cs="Times New Roman"/>
          <w:sz w:val="24"/>
          <w:szCs w:val="24"/>
        </w:rPr>
        <w:t xml:space="preserve"> ir konstatējams tiesnešu ētikas normu pārkāpums.</w:t>
      </w:r>
      <w:r w:rsidR="0016587D" w:rsidRPr="00D312C8">
        <w:rPr>
          <w:rFonts w:ascii="Times New Roman" w:hAnsi="Times New Roman" w:cs="Times New Roman"/>
          <w:sz w:val="24"/>
          <w:szCs w:val="24"/>
        </w:rPr>
        <w:t xml:space="preserve"> Savukārt </w:t>
      </w:r>
      <w:r w:rsidR="0028066B">
        <w:rPr>
          <w:rFonts w:ascii="Times New Roman" w:hAnsi="Times New Roman" w:cs="Times New Roman"/>
          <w:sz w:val="24"/>
          <w:szCs w:val="24"/>
        </w:rPr>
        <w:t>B.D.</w:t>
      </w:r>
      <w:r w:rsidR="00C0149E" w:rsidRPr="00D312C8">
        <w:rPr>
          <w:rFonts w:ascii="Times New Roman" w:hAnsi="Times New Roman" w:cs="Times New Roman"/>
          <w:sz w:val="24"/>
          <w:szCs w:val="24"/>
        </w:rPr>
        <w:t xml:space="preserve"> iesniegumā norāda, ka tiesnese ir pieļāvusi cilvēktiesību un ētikas normu pārkāpumus</w:t>
      </w:r>
      <w:r w:rsidR="0016587D" w:rsidRPr="00D312C8">
        <w:rPr>
          <w:rFonts w:ascii="Times New Roman" w:hAnsi="Times New Roman" w:cs="Times New Roman"/>
          <w:sz w:val="24"/>
          <w:szCs w:val="24"/>
        </w:rPr>
        <w:t xml:space="preserve"> un tiesneses rīcība liecinājusi par viņas neobjektivitāti.</w:t>
      </w:r>
    </w:p>
    <w:p w14:paraId="0AE0ECC8" w14:textId="71E87CCF" w:rsidR="009C2FBD" w:rsidRPr="00D312C8" w:rsidRDefault="009C2FBD" w:rsidP="00D312C8">
      <w:pPr>
        <w:spacing w:after="0" w:line="276" w:lineRule="auto"/>
        <w:ind w:firstLine="720"/>
        <w:jc w:val="both"/>
        <w:rPr>
          <w:rFonts w:ascii="Times New Roman" w:hAnsi="Times New Roman" w:cs="Times New Roman"/>
          <w:sz w:val="24"/>
          <w:szCs w:val="24"/>
        </w:rPr>
      </w:pPr>
    </w:p>
    <w:p w14:paraId="56F9C0E6" w14:textId="4E8C3AE0" w:rsidR="00026003" w:rsidRPr="00D312C8" w:rsidRDefault="00F41967" w:rsidP="00D312C8">
      <w:pPr>
        <w:spacing w:after="0" w:line="276" w:lineRule="auto"/>
        <w:ind w:firstLine="720"/>
        <w:jc w:val="both"/>
        <w:rPr>
          <w:rFonts w:ascii="Times New Roman" w:hAnsi="Times New Roman" w:cs="Times New Roman"/>
          <w:sz w:val="24"/>
          <w:szCs w:val="24"/>
        </w:rPr>
      </w:pPr>
      <w:r w:rsidRPr="00D312C8">
        <w:rPr>
          <w:rFonts w:ascii="Times New Roman" w:hAnsi="Times New Roman" w:cs="Times New Roman"/>
          <w:sz w:val="24"/>
          <w:szCs w:val="24"/>
        </w:rPr>
        <w:t>[</w:t>
      </w:r>
      <w:r w:rsidR="000A59FC" w:rsidRPr="00D312C8">
        <w:rPr>
          <w:rFonts w:ascii="Times New Roman" w:hAnsi="Times New Roman" w:cs="Times New Roman"/>
          <w:sz w:val="24"/>
          <w:szCs w:val="24"/>
        </w:rPr>
        <w:t>2</w:t>
      </w:r>
      <w:r w:rsidRPr="00D312C8">
        <w:rPr>
          <w:rFonts w:ascii="Times New Roman" w:hAnsi="Times New Roman" w:cs="Times New Roman"/>
          <w:sz w:val="24"/>
          <w:szCs w:val="24"/>
        </w:rPr>
        <w:t>]</w:t>
      </w:r>
      <w:r w:rsidR="00026003" w:rsidRPr="00D312C8">
        <w:rPr>
          <w:rFonts w:ascii="Times New Roman" w:hAnsi="Times New Roman" w:cs="Times New Roman"/>
          <w:sz w:val="24"/>
          <w:szCs w:val="24"/>
        </w:rPr>
        <w:t xml:space="preserve"> Tiesnese rakstveida paskaidrojumos tiesas priekšsēdētājam </w:t>
      </w:r>
      <w:r w:rsidR="00E143B6" w:rsidRPr="00D312C8">
        <w:rPr>
          <w:rFonts w:ascii="Times New Roman" w:hAnsi="Times New Roman" w:cs="Times New Roman"/>
          <w:sz w:val="24"/>
          <w:szCs w:val="24"/>
        </w:rPr>
        <w:t xml:space="preserve">norādījusi uz apstākļiem, kas izskaidro, kāpēc vēlējusies lietu izskatīt pēc iespējas ātrāk, proti, bija paredzēta nākamā tiesas sēde, kurā bija plānota videokonference ar tiesu, kur atradās tulks. Tiesnese </w:t>
      </w:r>
      <w:r w:rsidR="00374779" w:rsidRPr="00D312C8">
        <w:rPr>
          <w:rFonts w:ascii="Times New Roman" w:hAnsi="Times New Roman" w:cs="Times New Roman"/>
          <w:sz w:val="24"/>
          <w:szCs w:val="24"/>
        </w:rPr>
        <w:t xml:space="preserve">arī </w:t>
      </w:r>
      <w:r w:rsidR="00E143B6" w:rsidRPr="00D312C8">
        <w:rPr>
          <w:rFonts w:ascii="Times New Roman" w:hAnsi="Times New Roman" w:cs="Times New Roman"/>
          <w:sz w:val="24"/>
          <w:szCs w:val="24"/>
        </w:rPr>
        <w:t xml:space="preserve">skaidrojusi lietas procesuālos aspektus. </w:t>
      </w:r>
      <w:r w:rsidR="00374779" w:rsidRPr="00D312C8">
        <w:rPr>
          <w:rFonts w:ascii="Times New Roman" w:hAnsi="Times New Roman" w:cs="Times New Roman"/>
          <w:sz w:val="24"/>
          <w:szCs w:val="24"/>
        </w:rPr>
        <w:t xml:space="preserve">Tāpat tiesnese paskaidrojusi, ka notiesātais sodu izcieš par sevišķi smagu noziedzīgu nodarījumu, tāpēc tiesai bija jānoskaidro, kur un no kā viņš domā dzīvot, strādāt, kā spēs pildīt probācijas dienesta norādījumus, vai spēs normāli dzīvot ar sievieti, </w:t>
      </w:r>
      <w:r w:rsidR="00452B14">
        <w:rPr>
          <w:rFonts w:ascii="Times New Roman" w:hAnsi="Times New Roman" w:cs="Times New Roman"/>
          <w:sz w:val="24"/>
          <w:szCs w:val="24"/>
        </w:rPr>
        <w:t>kurai</w:t>
      </w:r>
      <w:r w:rsidR="00374779" w:rsidRPr="00D312C8">
        <w:rPr>
          <w:rFonts w:ascii="Times New Roman" w:hAnsi="Times New Roman" w:cs="Times New Roman"/>
          <w:sz w:val="24"/>
          <w:szCs w:val="24"/>
        </w:rPr>
        <w:t xml:space="preserve"> ir mazgadīga meita, ar tik cietsirdīgu attieksmi, kāda viņam ir pret sievietēm.</w:t>
      </w:r>
      <w:r w:rsidR="00872794" w:rsidRPr="00D312C8">
        <w:rPr>
          <w:rFonts w:ascii="Times New Roman" w:hAnsi="Times New Roman" w:cs="Times New Roman"/>
          <w:sz w:val="24"/>
          <w:szCs w:val="24"/>
        </w:rPr>
        <w:t xml:space="preserve"> Tiesnese </w:t>
      </w:r>
      <w:r w:rsidR="00B12534" w:rsidRPr="00D312C8">
        <w:rPr>
          <w:rFonts w:ascii="Times New Roman" w:hAnsi="Times New Roman" w:cs="Times New Roman"/>
          <w:sz w:val="24"/>
          <w:szCs w:val="24"/>
        </w:rPr>
        <w:t xml:space="preserve">paskaidrojumā norādījusi, ka </w:t>
      </w:r>
      <w:r w:rsidR="00026003" w:rsidRPr="00D312C8">
        <w:rPr>
          <w:rFonts w:ascii="Times New Roman" w:hAnsi="Times New Roman" w:cs="Times New Roman"/>
          <w:sz w:val="24"/>
          <w:szCs w:val="24"/>
        </w:rPr>
        <w:t>neuzskata, ka viņas jautājumi bija aizskaroši, taču aizskaroša ir apsaukāšanās un ņirgāšanās par tiesnesi notiesātā sūdzībā, kas tikai apstiprinot tiesneses lēmuma pareizību un atklājot viņa patieso attieksmi pret sievietēm.</w:t>
      </w:r>
      <w:r w:rsidR="00B12534" w:rsidRPr="00D312C8">
        <w:rPr>
          <w:rFonts w:ascii="Times New Roman" w:hAnsi="Times New Roman" w:cs="Times New Roman"/>
          <w:sz w:val="24"/>
          <w:szCs w:val="24"/>
        </w:rPr>
        <w:t xml:space="preserve"> Tiesnese atzīmējusi, ka ar apgabaltiesas lēmumu </w:t>
      </w:r>
      <w:r w:rsidR="006D5A96" w:rsidRPr="00D312C8">
        <w:rPr>
          <w:rFonts w:ascii="Times New Roman" w:hAnsi="Times New Roman" w:cs="Times New Roman"/>
          <w:sz w:val="24"/>
          <w:szCs w:val="24"/>
        </w:rPr>
        <w:t>procesuālu pārkāpumu dēļ tika atcelts tiesneses pieņemtais lēmums. Tiesnese norādījusi, ka turpmāk, neskatoties uz steigu, ievēros kriminālprocesu.</w:t>
      </w:r>
    </w:p>
    <w:p w14:paraId="473B2380" w14:textId="6F715253" w:rsidR="0037346D" w:rsidRPr="00D312C8" w:rsidRDefault="0037346D" w:rsidP="00D312C8">
      <w:pPr>
        <w:spacing w:after="0" w:line="276" w:lineRule="auto"/>
        <w:ind w:firstLine="720"/>
        <w:jc w:val="both"/>
        <w:rPr>
          <w:rFonts w:ascii="Times New Roman" w:hAnsi="Times New Roman" w:cs="Times New Roman"/>
          <w:sz w:val="24"/>
          <w:szCs w:val="24"/>
        </w:rPr>
      </w:pPr>
      <w:r w:rsidRPr="00D312C8">
        <w:rPr>
          <w:rFonts w:ascii="Times New Roman" w:hAnsi="Times New Roman" w:cs="Times New Roman"/>
          <w:sz w:val="24"/>
          <w:szCs w:val="24"/>
        </w:rPr>
        <w:t xml:space="preserve">Rakstveida paskaidrojumā Tiesnešu ētikas komisijai tiesnese papildus paskaidrojusi, ka tiesa, noskaidrojot jautājuma izlemšanai būtiskos aspektus, tostarp, vai notiesātais spēs atturēties no alkohola lietošanas, un uzdodot attiecīgus jautājumus, nav vēlējusies nevienu ne aizskart, ne pazemot. Tiesnese pieļauj, ka atsevišķus jautājumus </w:t>
      </w:r>
      <w:r w:rsidR="0085121A">
        <w:rPr>
          <w:rFonts w:ascii="Times New Roman" w:hAnsi="Times New Roman" w:cs="Times New Roman"/>
          <w:sz w:val="24"/>
          <w:szCs w:val="24"/>
        </w:rPr>
        <w:t xml:space="preserve">būtu </w:t>
      </w:r>
      <w:r w:rsidRPr="00D312C8">
        <w:rPr>
          <w:rFonts w:ascii="Times New Roman" w:hAnsi="Times New Roman" w:cs="Times New Roman"/>
          <w:sz w:val="24"/>
          <w:szCs w:val="24"/>
        </w:rPr>
        <w:t>varējusi formulēt citādāk vai neuzdot vispār. Tiesnese norāda, ka, iespējams, zinot visus lietas apstākļus</w:t>
      </w:r>
      <w:r w:rsidR="00CA56A8" w:rsidRPr="00D312C8">
        <w:rPr>
          <w:rFonts w:ascii="Times New Roman" w:hAnsi="Times New Roman" w:cs="Times New Roman"/>
          <w:sz w:val="24"/>
          <w:szCs w:val="24"/>
        </w:rPr>
        <w:t>, nav spējusi izturēties neitrāli un neizrādīt savu attieksmi pret notiesāto.</w:t>
      </w:r>
    </w:p>
    <w:p w14:paraId="0BF955DA" w14:textId="3830191F" w:rsidR="000A59FC" w:rsidRPr="00D312C8" w:rsidRDefault="000A59FC" w:rsidP="00D312C8">
      <w:pPr>
        <w:spacing w:after="0" w:line="276" w:lineRule="auto"/>
        <w:ind w:firstLine="720"/>
        <w:jc w:val="both"/>
        <w:rPr>
          <w:rFonts w:ascii="Times New Roman" w:hAnsi="Times New Roman" w:cs="Times New Roman"/>
          <w:sz w:val="24"/>
          <w:szCs w:val="24"/>
        </w:rPr>
      </w:pPr>
      <w:r w:rsidRPr="00D312C8">
        <w:rPr>
          <w:rFonts w:ascii="Times New Roman" w:hAnsi="Times New Roman" w:cs="Times New Roman"/>
          <w:sz w:val="24"/>
          <w:szCs w:val="24"/>
        </w:rPr>
        <w:t xml:space="preserve">Tiesnešu ētikas komisijas sēdē tiesnese </w:t>
      </w:r>
      <w:r w:rsidR="004E4E77">
        <w:rPr>
          <w:rFonts w:ascii="Times New Roman" w:hAnsi="Times New Roman" w:cs="Times New Roman"/>
          <w:sz w:val="24"/>
          <w:szCs w:val="24"/>
        </w:rPr>
        <w:t>papildus paskaidroja</w:t>
      </w:r>
      <w:r w:rsidR="00452B14">
        <w:rPr>
          <w:rFonts w:ascii="Times New Roman" w:hAnsi="Times New Roman" w:cs="Times New Roman"/>
          <w:sz w:val="24"/>
          <w:szCs w:val="24"/>
        </w:rPr>
        <w:t>, ka</w:t>
      </w:r>
      <w:r w:rsidR="00AF4E12">
        <w:rPr>
          <w:rFonts w:ascii="Times New Roman" w:hAnsi="Times New Roman" w:cs="Times New Roman"/>
          <w:sz w:val="24"/>
          <w:szCs w:val="24"/>
        </w:rPr>
        <w:t xml:space="preserve"> </w:t>
      </w:r>
      <w:r w:rsidR="004E4E77">
        <w:rPr>
          <w:rFonts w:ascii="Times New Roman" w:hAnsi="Times New Roman" w:cs="Times New Roman"/>
          <w:sz w:val="24"/>
          <w:szCs w:val="24"/>
        </w:rPr>
        <w:t>bija</w:t>
      </w:r>
      <w:r w:rsidR="00452B14">
        <w:rPr>
          <w:rFonts w:ascii="Times New Roman" w:hAnsi="Times New Roman" w:cs="Times New Roman"/>
          <w:sz w:val="24"/>
          <w:szCs w:val="24"/>
        </w:rPr>
        <w:t xml:space="preserve"> iepaz</w:t>
      </w:r>
      <w:r w:rsidR="00AF4E12">
        <w:rPr>
          <w:rFonts w:ascii="Times New Roman" w:hAnsi="Times New Roman" w:cs="Times New Roman"/>
          <w:sz w:val="24"/>
          <w:szCs w:val="24"/>
        </w:rPr>
        <w:t>inusies</w:t>
      </w:r>
      <w:r w:rsidR="00452B14">
        <w:rPr>
          <w:rFonts w:ascii="Times New Roman" w:hAnsi="Times New Roman" w:cs="Times New Roman"/>
          <w:sz w:val="24"/>
          <w:szCs w:val="24"/>
        </w:rPr>
        <w:t xml:space="preserve"> ar visiem </w:t>
      </w:r>
      <w:r w:rsidR="004E4E77">
        <w:rPr>
          <w:rFonts w:ascii="Times New Roman" w:hAnsi="Times New Roman" w:cs="Times New Roman"/>
          <w:sz w:val="24"/>
          <w:szCs w:val="24"/>
        </w:rPr>
        <w:t xml:space="preserve">notiesātā </w:t>
      </w:r>
      <w:r w:rsidR="00452B14">
        <w:rPr>
          <w:rFonts w:ascii="Times New Roman" w:hAnsi="Times New Roman" w:cs="Times New Roman"/>
          <w:sz w:val="24"/>
          <w:szCs w:val="24"/>
        </w:rPr>
        <w:t>lietas materiāliem (spriedumiem</w:t>
      </w:r>
      <w:r w:rsidR="00AF4E12">
        <w:rPr>
          <w:rFonts w:ascii="Times New Roman" w:hAnsi="Times New Roman" w:cs="Times New Roman"/>
          <w:sz w:val="24"/>
          <w:szCs w:val="24"/>
        </w:rPr>
        <w:t xml:space="preserve">, probācijas dienesta un cietuma atzinumiem, </w:t>
      </w:r>
      <w:r w:rsidR="00452B14">
        <w:rPr>
          <w:rFonts w:ascii="Times New Roman" w:hAnsi="Times New Roman" w:cs="Times New Roman"/>
          <w:sz w:val="24"/>
          <w:szCs w:val="24"/>
        </w:rPr>
        <w:t xml:space="preserve">kolēģu nolēmumiem par notiesātā </w:t>
      </w:r>
      <w:r w:rsidR="00452B14" w:rsidRPr="00D312C8">
        <w:rPr>
          <w:rFonts w:ascii="Times New Roman" w:hAnsi="Times New Roman" w:cs="Times New Roman"/>
          <w:sz w:val="24"/>
          <w:szCs w:val="24"/>
        </w:rPr>
        <w:t>nosacītu pirmstermiņa atbrīvošanu no pamatsoda izciešanas</w:t>
      </w:r>
      <w:r w:rsidR="00452B14">
        <w:rPr>
          <w:rFonts w:ascii="Times New Roman" w:hAnsi="Times New Roman" w:cs="Times New Roman"/>
          <w:sz w:val="24"/>
          <w:szCs w:val="24"/>
        </w:rPr>
        <w:t>, ko notiesātais lūdzis jau sesto reizi</w:t>
      </w:r>
      <w:r w:rsidR="00AF4E12">
        <w:rPr>
          <w:rFonts w:ascii="Times New Roman" w:hAnsi="Times New Roman" w:cs="Times New Roman"/>
          <w:sz w:val="24"/>
          <w:szCs w:val="24"/>
        </w:rPr>
        <w:t xml:space="preserve">). Tiesnese, zinot, kāds noziegums un kādos apstākļos ir izdarīts, kā arī ņemot vērā to, ka sievietei, pie kuras notiesātais paredzējis apmesties, ir </w:t>
      </w:r>
      <w:r w:rsidR="00AF4E12">
        <w:rPr>
          <w:rFonts w:ascii="Times New Roman" w:hAnsi="Times New Roman" w:cs="Times New Roman"/>
          <w:sz w:val="24"/>
          <w:szCs w:val="24"/>
        </w:rPr>
        <w:lastRenderedPageBreak/>
        <w:t>mazgadīga meita, tāpat arī ievērojot to, ka sieviete, pie kuras viņš grasās dzīvot, ir uzradusies pēkšņi un ir notikusi viena īslaicīga tikšanās, nav novaldījusies</w:t>
      </w:r>
      <w:r w:rsidR="004E4E77">
        <w:rPr>
          <w:rFonts w:ascii="Times New Roman" w:hAnsi="Times New Roman" w:cs="Times New Roman"/>
          <w:sz w:val="24"/>
          <w:szCs w:val="24"/>
        </w:rPr>
        <w:t xml:space="preserve"> un atzīst, ka viņai nevajadzēja uzdot tādus jautājumus. Tiesnese norāda arī uz stresu, ko rada videokonferences, kuras nereti pārtrūkst, un steiga, kādā lieta bija jāizskata, taču atzīst, ka tas nav attaisnojums. Pieļauj, ka ētikas normu pārkāpums izpaudās apstāklī, ka viņa nav spējusi novaldīties un neizrādīt attieksmi.</w:t>
      </w:r>
    </w:p>
    <w:p w14:paraId="08DCA155" w14:textId="77777777" w:rsidR="000A59FC" w:rsidRPr="00D312C8" w:rsidRDefault="000A59FC" w:rsidP="00D312C8">
      <w:pPr>
        <w:autoSpaceDE w:val="0"/>
        <w:spacing w:after="0" w:line="276" w:lineRule="auto"/>
        <w:ind w:firstLine="695"/>
        <w:jc w:val="both"/>
        <w:rPr>
          <w:rFonts w:ascii="Times New Roman" w:eastAsia="Times New Roman" w:hAnsi="Times New Roman" w:cs="Times New Roman"/>
          <w:color w:val="00B050"/>
          <w:sz w:val="24"/>
          <w:szCs w:val="24"/>
        </w:rPr>
      </w:pPr>
    </w:p>
    <w:p w14:paraId="4090717E" w14:textId="143BF35A" w:rsidR="00F41967" w:rsidRPr="00D312C8" w:rsidRDefault="00F41967" w:rsidP="00D312C8">
      <w:pPr>
        <w:autoSpaceDE w:val="0"/>
        <w:spacing w:after="0" w:line="276" w:lineRule="auto"/>
        <w:ind w:firstLine="695"/>
        <w:jc w:val="both"/>
        <w:rPr>
          <w:rFonts w:ascii="Times New Roman" w:hAnsi="Times New Roman" w:cs="Times New Roman"/>
          <w:sz w:val="24"/>
          <w:szCs w:val="24"/>
        </w:rPr>
      </w:pPr>
      <w:r w:rsidRPr="00D312C8">
        <w:rPr>
          <w:rFonts w:ascii="Times New Roman" w:eastAsia="Times New Roman" w:hAnsi="Times New Roman" w:cs="Times New Roman"/>
          <w:sz w:val="24"/>
          <w:szCs w:val="24"/>
        </w:rPr>
        <w:t>[</w:t>
      </w:r>
      <w:r w:rsidR="000A59FC" w:rsidRPr="00D312C8">
        <w:rPr>
          <w:rFonts w:ascii="Times New Roman" w:eastAsia="Times New Roman" w:hAnsi="Times New Roman" w:cs="Times New Roman"/>
          <w:sz w:val="24"/>
          <w:szCs w:val="24"/>
        </w:rPr>
        <w:t>3</w:t>
      </w:r>
      <w:r w:rsidRPr="00D312C8">
        <w:rPr>
          <w:rFonts w:ascii="Times New Roman" w:eastAsia="Times New Roman" w:hAnsi="Times New Roman" w:cs="Times New Roman"/>
          <w:sz w:val="24"/>
          <w:szCs w:val="24"/>
        </w:rPr>
        <w:t xml:space="preserve">] </w:t>
      </w:r>
      <w:r w:rsidRPr="00D312C8">
        <w:rPr>
          <w:rFonts w:ascii="Times New Roman" w:hAnsi="Times New Roman" w:cs="Times New Roman"/>
          <w:sz w:val="24"/>
          <w:szCs w:val="24"/>
        </w:rPr>
        <w:t xml:space="preserve">Saskaņā ar likuma </w:t>
      </w:r>
      <w:r w:rsidR="000A59FC" w:rsidRPr="00D312C8">
        <w:rPr>
          <w:rFonts w:ascii="Times New Roman" w:hAnsi="Times New Roman" w:cs="Times New Roman"/>
          <w:sz w:val="24"/>
          <w:szCs w:val="24"/>
        </w:rPr>
        <w:t>„</w:t>
      </w:r>
      <w:r w:rsidRPr="00D312C8">
        <w:rPr>
          <w:rFonts w:ascii="Times New Roman" w:hAnsi="Times New Roman" w:cs="Times New Roman"/>
          <w:sz w:val="24"/>
          <w:szCs w:val="24"/>
        </w:rPr>
        <w:t>Par tiesu varu” 91.</w:t>
      </w:r>
      <w:r w:rsidRPr="00D312C8">
        <w:rPr>
          <w:rFonts w:ascii="Times New Roman" w:hAnsi="Times New Roman" w:cs="Times New Roman"/>
          <w:sz w:val="24"/>
          <w:szCs w:val="24"/>
          <w:vertAlign w:val="superscript"/>
        </w:rPr>
        <w:t>2</w:t>
      </w:r>
      <w:r w:rsidRPr="00D312C8">
        <w:rPr>
          <w:rFonts w:ascii="Times New Roman" w:hAnsi="Times New Roman" w:cs="Times New Roman"/>
          <w:sz w:val="24"/>
          <w:szCs w:val="24"/>
        </w:rPr>
        <w:t>panta 1</w:t>
      </w:r>
      <w:r w:rsidRPr="00D312C8">
        <w:rPr>
          <w:rFonts w:ascii="Times New Roman" w:eastAsia="Times New Roman" w:hAnsi="Times New Roman" w:cs="Times New Roman"/>
          <w:sz w:val="24"/>
          <w:szCs w:val="24"/>
          <w:lang w:eastAsia="lv-LV"/>
        </w:rPr>
        <w:t xml:space="preserve">.punktu Tiesnešu ētikas komisija </w:t>
      </w:r>
      <w:r w:rsidRPr="00D312C8">
        <w:rPr>
          <w:rFonts w:ascii="Times New Roman" w:hAnsi="Times New Roman" w:cs="Times New Roman"/>
          <w:sz w:val="24"/>
          <w:szCs w:val="24"/>
        </w:rPr>
        <w:t xml:space="preserve">pēc tās personas pieprasījuma, kurai ir tiesības ierosināt disciplinārlietu, sniedz atzinumus par ētikas normu interpretāciju un pārkāpumiem. </w:t>
      </w:r>
    </w:p>
    <w:p w14:paraId="005EC41F" w14:textId="7A5A4A4F" w:rsidR="00F41967" w:rsidRDefault="00D312C8" w:rsidP="00D312C8">
      <w:pPr>
        <w:autoSpaceDE w:val="0"/>
        <w:spacing w:after="0" w:line="276" w:lineRule="auto"/>
        <w:ind w:firstLine="695"/>
        <w:jc w:val="both"/>
        <w:rPr>
          <w:rFonts w:ascii="Times New Roman" w:hAnsi="Times New Roman" w:cs="Times New Roman"/>
          <w:sz w:val="24"/>
          <w:szCs w:val="24"/>
        </w:rPr>
      </w:pPr>
      <w:r w:rsidRPr="00D312C8">
        <w:rPr>
          <w:rFonts w:ascii="Times New Roman" w:hAnsi="Times New Roman" w:cs="Times New Roman"/>
          <w:sz w:val="24"/>
          <w:szCs w:val="24"/>
        </w:rPr>
        <w:t xml:space="preserve">Līdz ar to </w:t>
      </w:r>
      <w:r w:rsidR="00F41967" w:rsidRPr="00D312C8">
        <w:rPr>
          <w:rFonts w:ascii="Times New Roman" w:hAnsi="Times New Roman" w:cs="Times New Roman"/>
          <w:sz w:val="24"/>
          <w:szCs w:val="24"/>
        </w:rPr>
        <w:t>komisija izvērtē, vai tiesne</w:t>
      </w:r>
      <w:r w:rsidRPr="00D312C8">
        <w:rPr>
          <w:rFonts w:ascii="Times New Roman" w:hAnsi="Times New Roman" w:cs="Times New Roman"/>
          <w:sz w:val="24"/>
          <w:szCs w:val="24"/>
        </w:rPr>
        <w:t>ses</w:t>
      </w:r>
      <w:r w:rsidR="00F41967" w:rsidRPr="00D312C8">
        <w:rPr>
          <w:rFonts w:ascii="Times New Roman" w:hAnsi="Times New Roman" w:cs="Times New Roman"/>
          <w:sz w:val="24"/>
          <w:szCs w:val="24"/>
        </w:rPr>
        <w:t xml:space="preserve"> </w:t>
      </w:r>
      <w:r w:rsidRPr="00D312C8">
        <w:rPr>
          <w:rFonts w:ascii="Times New Roman" w:hAnsi="Times New Roman" w:cs="Times New Roman"/>
          <w:sz w:val="24"/>
          <w:szCs w:val="24"/>
        </w:rPr>
        <w:t xml:space="preserve">rīcībā </w:t>
      </w:r>
      <w:r w:rsidR="00F41967" w:rsidRPr="00D312C8">
        <w:rPr>
          <w:rFonts w:ascii="Times New Roman" w:hAnsi="Times New Roman" w:cs="Times New Roman"/>
          <w:sz w:val="24"/>
          <w:szCs w:val="24"/>
        </w:rPr>
        <w:t>ir konstatējams ētikas normu pārkāpums.</w:t>
      </w:r>
    </w:p>
    <w:p w14:paraId="74E1C051" w14:textId="139BDAF0" w:rsidR="0085121A" w:rsidRDefault="0085121A" w:rsidP="00D312C8">
      <w:pPr>
        <w:autoSpaceDE w:val="0"/>
        <w:spacing w:after="0" w:line="276" w:lineRule="auto"/>
        <w:ind w:firstLine="695"/>
        <w:jc w:val="both"/>
        <w:rPr>
          <w:rFonts w:ascii="Times New Roman" w:hAnsi="Times New Roman" w:cs="Times New Roman"/>
          <w:sz w:val="24"/>
          <w:szCs w:val="24"/>
        </w:rPr>
      </w:pPr>
    </w:p>
    <w:p w14:paraId="3BC251FC" w14:textId="03263F8E" w:rsidR="00086F6D" w:rsidRDefault="00086F6D" w:rsidP="000033AD">
      <w:pPr>
        <w:autoSpaceDE w:val="0"/>
        <w:spacing w:after="0" w:line="276" w:lineRule="auto"/>
        <w:ind w:firstLine="695"/>
        <w:jc w:val="both"/>
        <w:rPr>
          <w:rFonts w:ascii="Times New Roman" w:hAnsi="Times New Roman" w:cs="Times New Roman"/>
          <w:sz w:val="24"/>
          <w:szCs w:val="24"/>
        </w:rPr>
      </w:pPr>
      <w:r>
        <w:rPr>
          <w:rFonts w:ascii="Times New Roman" w:hAnsi="Times New Roman" w:cs="Times New Roman"/>
          <w:sz w:val="24"/>
          <w:szCs w:val="24"/>
        </w:rPr>
        <w:t xml:space="preserve">[4] </w:t>
      </w:r>
      <w:r w:rsidR="0085121A">
        <w:rPr>
          <w:rFonts w:ascii="Times New Roman" w:hAnsi="Times New Roman" w:cs="Times New Roman"/>
          <w:sz w:val="24"/>
          <w:szCs w:val="24"/>
        </w:rPr>
        <w:t>Latvijas tiesnešu ētikas kodeks</w:t>
      </w:r>
      <w:r>
        <w:rPr>
          <w:rFonts w:ascii="Times New Roman" w:hAnsi="Times New Roman" w:cs="Times New Roman"/>
          <w:sz w:val="24"/>
          <w:szCs w:val="24"/>
        </w:rPr>
        <w:t>s (turpmāk – kodekss) skaidro tiesnešu uzvedības standartus, veicot savus pienākumus, akcentējot arī to, kālab ir būtiski tos ievērot.</w:t>
      </w:r>
    </w:p>
    <w:p w14:paraId="0A368D35" w14:textId="22593018" w:rsidR="00CF07B9" w:rsidRDefault="00086F6D" w:rsidP="00CF07B9">
      <w:pPr>
        <w:autoSpaceDE w:val="0"/>
        <w:spacing w:after="0" w:line="276" w:lineRule="auto"/>
        <w:ind w:firstLine="695"/>
        <w:jc w:val="both"/>
        <w:rPr>
          <w:rFonts w:ascii="Times New Roman" w:hAnsi="Times New Roman" w:cs="Times New Roman"/>
          <w:sz w:val="24"/>
          <w:szCs w:val="24"/>
        </w:rPr>
      </w:pPr>
      <w:r w:rsidRPr="007C374A">
        <w:rPr>
          <w:rFonts w:ascii="Times New Roman" w:hAnsi="Times New Roman" w:cs="Times New Roman"/>
          <w:sz w:val="24"/>
          <w:szCs w:val="24"/>
        </w:rPr>
        <w:t>Tā</w:t>
      </w:r>
      <w:r w:rsidR="007C374A">
        <w:rPr>
          <w:rFonts w:ascii="Times New Roman" w:hAnsi="Times New Roman" w:cs="Times New Roman"/>
          <w:sz w:val="24"/>
          <w:szCs w:val="24"/>
        </w:rPr>
        <w:t>,</w:t>
      </w:r>
      <w:r w:rsidRPr="007C374A">
        <w:rPr>
          <w:rFonts w:ascii="Times New Roman" w:hAnsi="Times New Roman" w:cs="Times New Roman"/>
          <w:sz w:val="24"/>
          <w:szCs w:val="24"/>
        </w:rPr>
        <w:t xml:space="preserve"> kodeksa 2.kanona </w:t>
      </w:r>
      <w:r w:rsidR="00225EE4">
        <w:rPr>
          <w:rFonts w:ascii="Times New Roman" w:hAnsi="Times New Roman" w:cs="Times New Roman"/>
          <w:sz w:val="24"/>
          <w:szCs w:val="24"/>
        </w:rPr>
        <w:t>3</w:t>
      </w:r>
      <w:r w:rsidRPr="007C374A">
        <w:rPr>
          <w:rFonts w:ascii="Times New Roman" w:hAnsi="Times New Roman" w:cs="Times New Roman"/>
          <w:sz w:val="24"/>
          <w:szCs w:val="24"/>
        </w:rPr>
        <w:t xml:space="preserve">.punkts </w:t>
      </w:r>
      <w:r w:rsidR="0085121A" w:rsidRPr="007C374A">
        <w:rPr>
          <w:rFonts w:ascii="Times New Roman" w:hAnsi="Times New Roman" w:cs="Times New Roman"/>
          <w:sz w:val="24"/>
          <w:szCs w:val="24"/>
        </w:rPr>
        <w:t>paredz, ka tiesnesis darbojas tā, lai veicinātu sabiedrības uzticību tiesas godīgumam un objektivitātei</w:t>
      </w:r>
      <w:r w:rsidRPr="007C374A">
        <w:rPr>
          <w:rFonts w:ascii="Times New Roman" w:hAnsi="Times New Roman" w:cs="Times New Roman"/>
          <w:sz w:val="24"/>
          <w:szCs w:val="24"/>
        </w:rPr>
        <w:t xml:space="preserve">. Savukārt kodeksa </w:t>
      </w:r>
      <w:r w:rsidR="0085121A" w:rsidRPr="007C374A">
        <w:rPr>
          <w:rFonts w:ascii="Times New Roman" w:hAnsi="Times New Roman" w:cs="Times New Roman"/>
          <w:sz w:val="24"/>
          <w:szCs w:val="24"/>
        </w:rPr>
        <w:t>3.</w:t>
      </w:r>
      <w:r w:rsidRPr="007C374A">
        <w:rPr>
          <w:rFonts w:ascii="Times New Roman" w:hAnsi="Times New Roman" w:cs="Times New Roman"/>
          <w:sz w:val="24"/>
          <w:szCs w:val="24"/>
        </w:rPr>
        <w:t>kanons noteic, ka t</w:t>
      </w:r>
      <w:r w:rsidR="0085121A" w:rsidRPr="007C374A">
        <w:rPr>
          <w:rFonts w:ascii="Times New Roman" w:hAnsi="Times New Roman" w:cs="Times New Roman"/>
          <w:sz w:val="24"/>
          <w:szCs w:val="24"/>
        </w:rPr>
        <w:t>iesnesis pilda tiesu varas uzliktos pienākumus objektīvi un taisnīgi</w:t>
      </w:r>
      <w:r w:rsidRPr="007C374A">
        <w:rPr>
          <w:rFonts w:ascii="Times New Roman" w:hAnsi="Times New Roman" w:cs="Times New Roman"/>
          <w:sz w:val="24"/>
          <w:szCs w:val="24"/>
        </w:rPr>
        <w:t xml:space="preserve">. Saskaņā ar šī kanona 5.punktu </w:t>
      </w:r>
      <w:r w:rsidR="0085121A" w:rsidRPr="007C374A">
        <w:rPr>
          <w:rFonts w:ascii="Times New Roman" w:hAnsi="Times New Roman" w:cs="Times New Roman"/>
          <w:sz w:val="24"/>
          <w:szCs w:val="24"/>
        </w:rPr>
        <w:t>tiesnesim jābūt iecietīgam, cieņas pilnam un laipnam pret procesa dalībniekiem</w:t>
      </w:r>
      <w:r w:rsidRPr="007C374A">
        <w:rPr>
          <w:rFonts w:ascii="Times New Roman" w:hAnsi="Times New Roman" w:cs="Times New Roman"/>
          <w:sz w:val="24"/>
          <w:szCs w:val="24"/>
        </w:rPr>
        <w:t xml:space="preserve">, </w:t>
      </w:r>
      <w:r w:rsidR="000033AD" w:rsidRPr="007C374A">
        <w:rPr>
          <w:rFonts w:ascii="Times New Roman" w:hAnsi="Times New Roman" w:cs="Times New Roman"/>
          <w:sz w:val="24"/>
          <w:szCs w:val="24"/>
        </w:rPr>
        <w:t>7.p</w:t>
      </w:r>
      <w:r w:rsidR="007C374A" w:rsidRPr="007C374A">
        <w:rPr>
          <w:rFonts w:ascii="Times New Roman" w:hAnsi="Times New Roman" w:cs="Times New Roman"/>
          <w:sz w:val="24"/>
          <w:szCs w:val="24"/>
        </w:rPr>
        <w:t>unktā noteikts, ka</w:t>
      </w:r>
      <w:r w:rsidR="000033AD" w:rsidRPr="007C374A">
        <w:rPr>
          <w:rFonts w:ascii="Times New Roman" w:hAnsi="Times New Roman" w:cs="Times New Roman"/>
          <w:sz w:val="24"/>
          <w:szCs w:val="24"/>
        </w:rPr>
        <w:t xml:space="preserve"> </w:t>
      </w:r>
      <w:r w:rsidR="0085121A" w:rsidRPr="007C374A">
        <w:rPr>
          <w:rFonts w:ascii="Times New Roman" w:hAnsi="Times New Roman" w:cs="Times New Roman"/>
          <w:sz w:val="24"/>
          <w:szCs w:val="24"/>
        </w:rPr>
        <w:t>tiesnesis savus uzdevumus pilda bez aizspriedumiem</w:t>
      </w:r>
      <w:r w:rsidR="007C374A" w:rsidRPr="007C374A">
        <w:rPr>
          <w:rFonts w:ascii="Times New Roman" w:hAnsi="Times New Roman" w:cs="Times New Roman"/>
          <w:sz w:val="24"/>
          <w:szCs w:val="24"/>
        </w:rPr>
        <w:t xml:space="preserve">, savukārt </w:t>
      </w:r>
      <w:r w:rsidR="000033AD" w:rsidRPr="007C374A">
        <w:rPr>
          <w:rFonts w:ascii="Times New Roman" w:hAnsi="Times New Roman" w:cs="Times New Roman"/>
          <w:sz w:val="24"/>
          <w:szCs w:val="24"/>
        </w:rPr>
        <w:t>8.p</w:t>
      </w:r>
      <w:r w:rsidR="007C374A" w:rsidRPr="007C374A">
        <w:rPr>
          <w:rFonts w:ascii="Times New Roman" w:hAnsi="Times New Roman" w:cs="Times New Roman"/>
          <w:sz w:val="24"/>
          <w:szCs w:val="24"/>
        </w:rPr>
        <w:t>unktā norādīts, ka</w:t>
      </w:r>
      <w:r w:rsidR="000033AD" w:rsidRPr="007C374A">
        <w:rPr>
          <w:rFonts w:ascii="Times New Roman" w:hAnsi="Times New Roman" w:cs="Times New Roman"/>
          <w:sz w:val="24"/>
          <w:szCs w:val="24"/>
        </w:rPr>
        <w:t xml:space="preserve"> </w:t>
      </w:r>
      <w:r w:rsidR="0085121A" w:rsidRPr="007C374A">
        <w:rPr>
          <w:rFonts w:ascii="Times New Roman" w:hAnsi="Times New Roman" w:cs="Times New Roman"/>
          <w:sz w:val="24"/>
          <w:szCs w:val="24"/>
        </w:rPr>
        <w:t>tiesnesis izvairās no vārdiem un runas, žestiem vai citas darbības, ko varētu uzņemt kā neobjektivitāti vai aizspriedumu izpausmi</w:t>
      </w:r>
      <w:r w:rsidR="00CF07B9">
        <w:rPr>
          <w:rFonts w:ascii="Times New Roman" w:hAnsi="Times New Roman" w:cs="Times New Roman"/>
          <w:sz w:val="24"/>
          <w:szCs w:val="24"/>
        </w:rPr>
        <w:t>.</w:t>
      </w:r>
    </w:p>
    <w:p w14:paraId="180A1C74" w14:textId="60DB3CAB" w:rsidR="00074847" w:rsidRPr="00B23ED9" w:rsidRDefault="00CF07B9" w:rsidP="00B23ED9">
      <w:pPr>
        <w:autoSpaceDE w:val="0"/>
        <w:spacing w:after="0" w:line="276" w:lineRule="auto"/>
        <w:ind w:firstLine="695"/>
        <w:jc w:val="both"/>
        <w:rPr>
          <w:rFonts w:ascii="Times New Roman" w:hAnsi="Times New Roman" w:cs="Times New Roman"/>
          <w:snapToGrid w:val="0"/>
          <w:sz w:val="24"/>
          <w:szCs w:val="24"/>
        </w:rPr>
      </w:pPr>
      <w:r w:rsidRPr="00B23ED9">
        <w:rPr>
          <w:rFonts w:ascii="Times New Roman" w:hAnsi="Times New Roman" w:cs="Times New Roman"/>
          <w:sz w:val="24"/>
          <w:szCs w:val="24"/>
        </w:rPr>
        <w:t xml:space="preserve">Arī Tiesnešu uzvedības </w:t>
      </w:r>
      <w:proofErr w:type="spellStart"/>
      <w:r w:rsidRPr="00B23ED9">
        <w:rPr>
          <w:rFonts w:ascii="Times New Roman" w:hAnsi="Times New Roman" w:cs="Times New Roman"/>
          <w:sz w:val="24"/>
          <w:szCs w:val="24"/>
        </w:rPr>
        <w:t>Bangaloras</w:t>
      </w:r>
      <w:proofErr w:type="spellEnd"/>
      <w:r w:rsidRPr="00B23ED9">
        <w:rPr>
          <w:rFonts w:ascii="Times New Roman" w:hAnsi="Times New Roman" w:cs="Times New Roman"/>
          <w:sz w:val="24"/>
          <w:szCs w:val="24"/>
        </w:rPr>
        <w:t xml:space="preserve"> principi </w:t>
      </w:r>
      <w:r w:rsidR="00074847" w:rsidRPr="00B23ED9">
        <w:rPr>
          <w:rFonts w:ascii="Times New Roman" w:hAnsi="Times New Roman" w:cs="Times New Roman"/>
          <w:sz w:val="24"/>
          <w:szCs w:val="24"/>
        </w:rPr>
        <w:t xml:space="preserve">reglamentē tiesnešu uzvedību kontekstā ar tām vērtībām, kuras </w:t>
      </w:r>
      <w:proofErr w:type="spellStart"/>
      <w:r w:rsidR="00074847" w:rsidRPr="00B23ED9">
        <w:rPr>
          <w:rFonts w:ascii="Times New Roman" w:hAnsi="Times New Roman" w:cs="Times New Roman"/>
          <w:sz w:val="24"/>
          <w:szCs w:val="24"/>
        </w:rPr>
        <w:t>Bangaloras</w:t>
      </w:r>
      <w:proofErr w:type="spellEnd"/>
      <w:r w:rsidR="00074847" w:rsidRPr="00B23ED9">
        <w:rPr>
          <w:rFonts w:ascii="Times New Roman" w:hAnsi="Times New Roman" w:cs="Times New Roman"/>
          <w:sz w:val="24"/>
          <w:szCs w:val="24"/>
        </w:rPr>
        <w:t xml:space="preserve"> principi pārstāv. Tā, saistībā ar tiesnešu neatkarību </w:t>
      </w:r>
      <w:proofErr w:type="spellStart"/>
      <w:r w:rsidR="00074847" w:rsidRPr="00B23ED9">
        <w:rPr>
          <w:rFonts w:ascii="Times New Roman" w:hAnsi="Times New Roman" w:cs="Times New Roman"/>
          <w:sz w:val="24"/>
          <w:szCs w:val="24"/>
        </w:rPr>
        <w:t>Bangaloras</w:t>
      </w:r>
      <w:proofErr w:type="spellEnd"/>
      <w:r w:rsidR="00074847" w:rsidRPr="00B23ED9">
        <w:rPr>
          <w:rFonts w:ascii="Times New Roman" w:hAnsi="Times New Roman" w:cs="Times New Roman"/>
          <w:sz w:val="24"/>
          <w:szCs w:val="24"/>
        </w:rPr>
        <w:t xml:space="preserve"> principu 1.1.punkts paredz, ka t</w:t>
      </w:r>
      <w:r w:rsidRPr="00B23ED9">
        <w:rPr>
          <w:rFonts w:ascii="Times New Roman" w:hAnsi="Times New Roman" w:cs="Times New Roman"/>
          <w:snapToGrid w:val="0"/>
          <w:sz w:val="24"/>
          <w:szCs w:val="24"/>
        </w:rPr>
        <w:t>iesnesis savas tiesneša funkcijas veic neatkarīgi, patstāvīgi izvērtējot konkrētos faktus un saskaņā ar dziļu tiesību izpratni, būdams brīvs no jebkādas ārējas ietekmes, pamudinājumiem, spiediena, draudiem vai iejaukšanās, ko tieši vai netieši varētu radīt kādas aprindas vai iemesls.</w:t>
      </w:r>
      <w:r w:rsidR="00074847" w:rsidRPr="00B23ED9">
        <w:rPr>
          <w:rFonts w:ascii="Times New Roman" w:hAnsi="Times New Roman" w:cs="Times New Roman"/>
          <w:snapToGrid w:val="0"/>
          <w:sz w:val="24"/>
          <w:szCs w:val="24"/>
        </w:rPr>
        <w:t xml:space="preserve"> Lai </w:t>
      </w:r>
      <w:r w:rsidR="00B23ED9" w:rsidRPr="00B23ED9">
        <w:rPr>
          <w:rFonts w:ascii="Times New Roman" w:hAnsi="Times New Roman" w:cs="Times New Roman"/>
          <w:snapToGrid w:val="0"/>
          <w:sz w:val="24"/>
          <w:szCs w:val="24"/>
        </w:rPr>
        <w:t xml:space="preserve">nodrošinātu tiesas objektivitāti, tiesnesis </w:t>
      </w:r>
      <w:r w:rsidR="00074847" w:rsidRPr="00B23ED9">
        <w:rPr>
          <w:rFonts w:ascii="Times New Roman" w:hAnsi="Times New Roman" w:cs="Times New Roman"/>
          <w:snapToGrid w:val="0"/>
          <w:sz w:val="24"/>
          <w:szCs w:val="24"/>
        </w:rPr>
        <w:t>savus pienākumus pilda bez īpašas labvēlības vai aizspriedumiem</w:t>
      </w:r>
      <w:r w:rsidR="00B23ED9" w:rsidRPr="00B23ED9">
        <w:rPr>
          <w:rFonts w:ascii="Times New Roman" w:hAnsi="Times New Roman" w:cs="Times New Roman"/>
          <w:snapToGrid w:val="0"/>
          <w:sz w:val="24"/>
          <w:szCs w:val="24"/>
        </w:rPr>
        <w:t xml:space="preserve"> (2.1.punkts), kā arī </w:t>
      </w:r>
      <w:r w:rsidR="00074847" w:rsidRPr="00B23ED9">
        <w:rPr>
          <w:rFonts w:ascii="Times New Roman" w:hAnsi="Times New Roman" w:cs="Times New Roman"/>
          <w:snapToGrid w:val="0"/>
          <w:sz w:val="24"/>
          <w:szCs w:val="24"/>
        </w:rPr>
        <w:t>nodrošina, ka viņa rīcība – gan tiesā, gan ārpus tiesas – veicina un nostiprina sabiedrības, juristu un tiesvedības dalībnieku uzticēšanos tiesneša un tiesu sistēmas objektivitātei</w:t>
      </w:r>
      <w:r w:rsidR="00B23ED9" w:rsidRPr="00B23ED9">
        <w:rPr>
          <w:rFonts w:ascii="Times New Roman" w:hAnsi="Times New Roman" w:cs="Times New Roman"/>
          <w:snapToGrid w:val="0"/>
          <w:sz w:val="24"/>
          <w:szCs w:val="24"/>
        </w:rPr>
        <w:t xml:space="preserve"> (2.2.punkts)</w:t>
      </w:r>
      <w:r w:rsidR="00074847" w:rsidRPr="00B23ED9">
        <w:rPr>
          <w:rFonts w:ascii="Times New Roman" w:hAnsi="Times New Roman" w:cs="Times New Roman"/>
          <w:snapToGrid w:val="0"/>
          <w:sz w:val="24"/>
          <w:szCs w:val="24"/>
        </w:rPr>
        <w:t>.</w:t>
      </w:r>
      <w:r w:rsidR="00B23ED9" w:rsidRPr="00B23ED9">
        <w:rPr>
          <w:rFonts w:ascii="Times New Roman" w:hAnsi="Times New Roman" w:cs="Times New Roman"/>
          <w:snapToGrid w:val="0"/>
          <w:sz w:val="24"/>
          <w:szCs w:val="24"/>
        </w:rPr>
        <w:t xml:space="preserve"> Tiesvedības laikā vai gadījumā, ja šāda tiesvedība būtu paredzama, tiesnesis nedrīkst apzināti izteikt nekādus komentārus, par kuriem varētu pamatoti uzskatīt, ka tie var ietekmēt šādas tiesvedības rezultātu vai nepārprotami kaitēt procesa taisnīgumam (2.4.punkts). </w:t>
      </w:r>
    </w:p>
    <w:p w14:paraId="5651A0B5" w14:textId="2DA8CFCB" w:rsidR="007C374A" w:rsidRDefault="00B23ED9" w:rsidP="000033AD">
      <w:pPr>
        <w:autoSpaceDE w:val="0"/>
        <w:spacing w:after="0" w:line="276" w:lineRule="auto"/>
        <w:ind w:firstLine="695"/>
        <w:jc w:val="both"/>
        <w:rPr>
          <w:rFonts w:ascii="Times New Roman" w:hAnsi="Times New Roman" w:cs="Times New Roman"/>
          <w:sz w:val="24"/>
          <w:szCs w:val="24"/>
        </w:rPr>
      </w:pPr>
      <w:r>
        <w:rPr>
          <w:rFonts w:ascii="Times New Roman" w:hAnsi="Times New Roman" w:cs="Times New Roman"/>
          <w:sz w:val="24"/>
          <w:szCs w:val="24"/>
        </w:rPr>
        <w:t xml:space="preserve">No minētā </w:t>
      </w:r>
      <w:r w:rsidR="007C374A">
        <w:rPr>
          <w:rFonts w:ascii="Times New Roman" w:hAnsi="Times New Roman" w:cs="Times New Roman"/>
          <w:sz w:val="24"/>
          <w:szCs w:val="24"/>
        </w:rPr>
        <w:t xml:space="preserve">Tiesnešu ētikas komisija </w:t>
      </w:r>
      <w:r>
        <w:rPr>
          <w:rFonts w:ascii="Times New Roman" w:hAnsi="Times New Roman" w:cs="Times New Roman"/>
          <w:sz w:val="24"/>
          <w:szCs w:val="24"/>
        </w:rPr>
        <w:t>secina</w:t>
      </w:r>
      <w:r w:rsidR="007C374A">
        <w:rPr>
          <w:rFonts w:ascii="Times New Roman" w:hAnsi="Times New Roman" w:cs="Times New Roman"/>
          <w:sz w:val="24"/>
          <w:szCs w:val="24"/>
        </w:rPr>
        <w:t>, ka tiesneša uzvedības tiesas procesa laikā standarti nav pašmērķīgi, proti, tie kalpo ne tikai tam, lai apliecinātu tiesu varas autoritāti, bet arī lai radītu pārliecību, ka tiesa ir profesionāla, neatkarīga un objektīva un ka tiesas procesa laikā ir iespējams panākt taisnīgu tiesu. Tādējādi tiesneša uzvedībai tiesas procesa laikā ir ļoti liela nozīme</w:t>
      </w:r>
      <w:r w:rsidR="00CF07B9">
        <w:rPr>
          <w:rFonts w:ascii="Times New Roman" w:hAnsi="Times New Roman" w:cs="Times New Roman"/>
          <w:sz w:val="24"/>
          <w:szCs w:val="24"/>
        </w:rPr>
        <w:t xml:space="preserve">, tiesnesim ir rūpīgi jāseko līdzi savam izteiksmes veidam, izteikumiem, rīcībai un uzvedībai, kas var būt pirmais vēstnesis (vai vismaz radīt tādu priekšstatu), </w:t>
      </w:r>
      <w:r w:rsidR="001C4306">
        <w:rPr>
          <w:rFonts w:ascii="Times New Roman" w:hAnsi="Times New Roman" w:cs="Times New Roman"/>
          <w:sz w:val="24"/>
          <w:szCs w:val="24"/>
        </w:rPr>
        <w:t>ka</w:t>
      </w:r>
      <w:r w:rsidR="00CF07B9">
        <w:rPr>
          <w:rFonts w:ascii="Times New Roman" w:hAnsi="Times New Roman" w:cs="Times New Roman"/>
          <w:sz w:val="24"/>
          <w:szCs w:val="24"/>
        </w:rPr>
        <w:t xml:space="preserve"> tiesnesis ir aizspriedumains un līdz ar to neobjektīvs.</w:t>
      </w:r>
    </w:p>
    <w:p w14:paraId="387673DA" w14:textId="77777777" w:rsidR="00CF07B9" w:rsidRDefault="00CF07B9" w:rsidP="000033AD">
      <w:pPr>
        <w:autoSpaceDE w:val="0"/>
        <w:spacing w:after="0" w:line="276" w:lineRule="auto"/>
        <w:ind w:firstLine="695"/>
        <w:jc w:val="both"/>
        <w:rPr>
          <w:rFonts w:ascii="Times New Roman" w:hAnsi="Times New Roman" w:cs="Times New Roman"/>
          <w:sz w:val="24"/>
          <w:szCs w:val="24"/>
        </w:rPr>
      </w:pPr>
    </w:p>
    <w:p w14:paraId="528ED76E" w14:textId="63BDBC42" w:rsidR="007C374A" w:rsidRDefault="00B23ED9" w:rsidP="000033AD">
      <w:pPr>
        <w:autoSpaceDE w:val="0"/>
        <w:spacing w:after="0" w:line="276" w:lineRule="auto"/>
        <w:ind w:firstLine="695"/>
        <w:jc w:val="both"/>
        <w:rPr>
          <w:rFonts w:ascii="Times New Roman" w:hAnsi="Times New Roman" w:cs="Times New Roman"/>
          <w:sz w:val="24"/>
          <w:szCs w:val="24"/>
        </w:rPr>
      </w:pPr>
      <w:r>
        <w:rPr>
          <w:rFonts w:ascii="Times New Roman" w:hAnsi="Times New Roman" w:cs="Times New Roman"/>
          <w:sz w:val="24"/>
          <w:szCs w:val="24"/>
        </w:rPr>
        <w:t xml:space="preserve">[5] Noklausoties </w:t>
      </w:r>
      <w:r w:rsidR="001D6107">
        <w:rPr>
          <w:rFonts w:ascii="Times New Roman" w:hAnsi="Times New Roman" w:cs="Times New Roman"/>
          <w:sz w:val="24"/>
          <w:szCs w:val="24"/>
        </w:rPr>
        <w:t>tiesas sēdes audioprotokolu, Tiesnešu ētikas komisija gūst pārliecību, ka tiesnese ir pārkāpusi minēt</w:t>
      </w:r>
      <w:r w:rsidR="004C633A">
        <w:rPr>
          <w:rFonts w:ascii="Times New Roman" w:hAnsi="Times New Roman" w:cs="Times New Roman"/>
          <w:sz w:val="24"/>
          <w:szCs w:val="24"/>
        </w:rPr>
        <w:t>os tiesnešu uzvedības standartus.</w:t>
      </w:r>
    </w:p>
    <w:p w14:paraId="7618BE91" w14:textId="6909D5BB" w:rsidR="00CD2301" w:rsidRDefault="004C633A" w:rsidP="000033AD">
      <w:pPr>
        <w:autoSpaceDE w:val="0"/>
        <w:spacing w:after="0" w:line="276" w:lineRule="auto"/>
        <w:ind w:firstLine="695"/>
        <w:jc w:val="both"/>
        <w:rPr>
          <w:rFonts w:ascii="Times New Roman" w:hAnsi="Times New Roman" w:cs="Times New Roman"/>
          <w:sz w:val="24"/>
          <w:szCs w:val="24"/>
        </w:rPr>
      </w:pPr>
      <w:r>
        <w:rPr>
          <w:rFonts w:ascii="Times New Roman" w:hAnsi="Times New Roman" w:cs="Times New Roman"/>
          <w:sz w:val="24"/>
          <w:szCs w:val="24"/>
        </w:rPr>
        <w:t xml:space="preserve">Tiesnešu ētikas komisija atzīst, ka gan tiesneses izteikumi, gan izteiksmes veids, balss tonis un intonācija rada iespaidu par to, ka tiesnese ir </w:t>
      </w:r>
      <w:r w:rsidR="00CD2301">
        <w:rPr>
          <w:rFonts w:ascii="Times New Roman" w:hAnsi="Times New Roman" w:cs="Times New Roman"/>
          <w:sz w:val="24"/>
          <w:szCs w:val="24"/>
        </w:rPr>
        <w:t xml:space="preserve">bijusi </w:t>
      </w:r>
      <w:r>
        <w:rPr>
          <w:rFonts w:ascii="Times New Roman" w:hAnsi="Times New Roman" w:cs="Times New Roman"/>
          <w:sz w:val="24"/>
          <w:szCs w:val="24"/>
        </w:rPr>
        <w:t>aizspriedum</w:t>
      </w:r>
      <w:r w:rsidR="00BC3305">
        <w:rPr>
          <w:rFonts w:ascii="Times New Roman" w:hAnsi="Times New Roman" w:cs="Times New Roman"/>
          <w:sz w:val="24"/>
          <w:szCs w:val="24"/>
        </w:rPr>
        <w:t>aina</w:t>
      </w:r>
      <w:r w:rsidR="00CD2301">
        <w:rPr>
          <w:rFonts w:ascii="Times New Roman" w:hAnsi="Times New Roman" w:cs="Times New Roman"/>
          <w:sz w:val="24"/>
          <w:szCs w:val="24"/>
        </w:rPr>
        <w:t xml:space="preserve"> </w:t>
      </w:r>
      <w:r>
        <w:rPr>
          <w:rFonts w:ascii="Times New Roman" w:hAnsi="Times New Roman" w:cs="Times New Roman"/>
          <w:sz w:val="24"/>
          <w:szCs w:val="24"/>
        </w:rPr>
        <w:t xml:space="preserve">un, kā atzīst arī pati tiesnese, ka viņai ir izveidojusies noteikta attieksme pret notiesāto. Tā, jau pašā tiesas sēdes </w:t>
      </w:r>
      <w:r>
        <w:rPr>
          <w:rFonts w:ascii="Times New Roman" w:hAnsi="Times New Roman" w:cs="Times New Roman"/>
          <w:sz w:val="24"/>
          <w:szCs w:val="24"/>
        </w:rPr>
        <w:lastRenderedPageBreak/>
        <w:t xml:space="preserve">sākumā tiesnese uzdod jautājumu: „Nu, </w:t>
      </w:r>
      <w:r w:rsidR="003F3449">
        <w:rPr>
          <w:rFonts w:ascii="Times New Roman" w:hAnsi="Times New Roman" w:cs="Times New Roman"/>
          <w:sz w:val="24"/>
          <w:szCs w:val="24"/>
        </w:rPr>
        <w:t xml:space="preserve">un </w:t>
      </w:r>
      <w:r>
        <w:rPr>
          <w:rFonts w:ascii="Times New Roman" w:hAnsi="Times New Roman" w:cs="Times New Roman"/>
          <w:sz w:val="24"/>
          <w:szCs w:val="24"/>
        </w:rPr>
        <w:t>kur tad strādāsie</w:t>
      </w:r>
      <w:r w:rsidR="003F3449">
        <w:rPr>
          <w:rFonts w:ascii="Times New Roman" w:hAnsi="Times New Roman" w:cs="Times New Roman"/>
          <w:sz w:val="24"/>
          <w:szCs w:val="24"/>
        </w:rPr>
        <w:t>t brīvībā</w:t>
      </w:r>
      <w:r>
        <w:rPr>
          <w:rFonts w:ascii="Times New Roman" w:hAnsi="Times New Roman" w:cs="Times New Roman"/>
          <w:sz w:val="24"/>
          <w:szCs w:val="24"/>
        </w:rPr>
        <w:t>?”, tādējādi kopā ar attiecīgu intonāciju radot iespaidu par to, ka tiesa jau no paša sākuma</w:t>
      </w:r>
      <w:r w:rsidR="003F3449">
        <w:rPr>
          <w:rFonts w:ascii="Times New Roman" w:hAnsi="Times New Roman" w:cs="Times New Roman"/>
          <w:sz w:val="24"/>
          <w:szCs w:val="24"/>
        </w:rPr>
        <w:t xml:space="preserve"> </w:t>
      </w:r>
      <w:r>
        <w:rPr>
          <w:rFonts w:ascii="Times New Roman" w:hAnsi="Times New Roman" w:cs="Times New Roman"/>
          <w:sz w:val="24"/>
          <w:szCs w:val="24"/>
        </w:rPr>
        <w:t>ieņēmusi noteiktu pozīciju, kas pauž neticību notiesātajam</w:t>
      </w:r>
      <w:r w:rsidR="00997F23">
        <w:rPr>
          <w:rFonts w:ascii="Times New Roman" w:hAnsi="Times New Roman" w:cs="Times New Roman"/>
          <w:sz w:val="24"/>
          <w:szCs w:val="24"/>
        </w:rPr>
        <w:t xml:space="preserve"> un nievājošu attieksmi pret notiesātā centieniem argumentēt savu spēju dzīvot brīvībā</w:t>
      </w:r>
      <w:r>
        <w:rPr>
          <w:rFonts w:ascii="Times New Roman" w:hAnsi="Times New Roman" w:cs="Times New Roman"/>
          <w:sz w:val="24"/>
          <w:szCs w:val="24"/>
        </w:rPr>
        <w:t>.</w:t>
      </w:r>
      <w:r w:rsidR="003F3449">
        <w:rPr>
          <w:rFonts w:ascii="Times New Roman" w:hAnsi="Times New Roman" w:cs="Times New Roman"/>
          <w:sz w:val="24"/>
          <w:szCs w:val="24"/>
        </w:rPr>
        <w:t xml:space="preserve"> Minētais attiecas arī uz citiem tiesas sēdes gaitā uzdotajiem jautājumiem vai tiesneses secinājumiem, proti, to izteiksmes veids un intonācija pauž </w:t>
      </w:r>
      <w:r w:rsidR="00997F23">
        <w:rPr>
          <w:rFonts w:ascii="Times New Roman" w:hAnsi="Times New Roman" w:cs="Times New Roman"/>
          <w:sz w:val="24"/>
          <w:szCs w:val="24"/>
        </w:rPr>
        <w:t xml:space="preserve">šaubas par to, ka </w:t>
      </w:r>
      <w:r w:rsidR="003F3449">
        <w:rPr>
          <w:rFonts w:ascii="Times New Roman" w:hAnsi="Times New Roman" w:cs="Times New Roman"/>
          <w:sz w:val="24"/>
          <w:szCs w:val="24"/>
        </w:rPr>
        <w:t>notiesāt</w:t>
      </w:r>
      <w:r w:rsidR="00997F23">
        <w:rPr>
          <w:rFonts w:ascii="Times New Roman" w:hAnsi="Times New Roman" w:cs="Times New Roman"/>
          <w:sz w:val="24"/>
          <w:szCs w:val="24"/>
        </w:rPr>
        <w:t xml:space="preserve">ajam varētu izdoties </w:t>
      </w:r>
      <w:r w:rsidR="00CD2301">
        <w:rPr>
          <w:rFonts w:ascii="Times New Roman" w:hAnsi="Times New Roman" w:cs="Times New Roman"/>
          <w:sz w:val="24"/>
          <w:szCs w:val="24"/>
        </w:rPr>
        <w:t>veiksmīgi atgriezties brīvībā</w:t>
      </w:r>
      <w:r w:rsidR="008B39A1">
        <w:rPr>
          <w:rFonts w:ascii="Times New Roman" w:hAnsi="Times New Roman" w:cs="Times New Roman"/>
          <w:sz w:val="24"/>
          <w:szCs w:val="24"/>
        </w:rPr>
        <w:t>, kā arī pārmetumu, ka notiesātais ir lūdzis pirmstermiņa atbrīvošanu</w:t>
      </w:r>
      <w:r w:rsidR="00CD2301">
        <w:rPr>
          <w:rFonts w:ascii="Times New Roman" w:hAnsi="Times New Roman" w:cs="Times New Roman"/>
          <w:sz w:val="24"/>
          <w:szCs w:val="24"/>
        </w:rPr>
        <w:t xml:space="preserve">. Tiesnese vairākkārtīgi izteikusi arī komentārus un viedokļus, kas tiešā veidā apliecina viņas nostāju attiecībā pret notiesāto. Tā, piemēram, tiesnese norāda: „No tiem [no notiesātā iesniegumiem] es saprotu, ka jūs esat nolēmis uzsēsties tai sievietei kaklā [..] un dzīvot no viņas ienākumiem”, vai arī: „Tikko būs pirmā glāzīte rīklē, </w:t>
      </w:r>
      <w:r w:rsidR="00214B51">
        <w:rPr>
          <w:rFonts w:ascii="Times New Roman" w:hAnsi="Times New Roman" w:cs="Times New Roman"/>
          <w:sz w:val="24"/>
          <w:szCs w:val="24"/>
        </w:rPr>
        <w:t xml:space="preserve">tā </w:t>
      </w:r>
      <w:r w:rsidR="00CD2301">
        <w:rPr>
          <w:rFonts w:ascii="Times New Roman" w:hAnsi="Times New Roman" w:cs="Times New Roman"/>
          <w:sz w:val="24"/>
          <w:szCs w:val="24"/>
        </w:rPr>
        <w:t>būs cirvis rokā!</w:t>
      </w:r>
      <w:r w:rsidR="00214B51">
        <w:rPr>
          <w:rFonts w:ascii="Times New Roman" w:hAnsi="Times New Roman" w:cs="Times New Roman"/>
          <w:sz w:val="24"/>
          <w:szCs w:val="24"/>
        </w:rPr>
        <w:t>”, savukārt, reaģējot uz notiesātā skaidrojumu, ka viņi visu darīs kopā, tiesnese norāda: „</w:t>
      </w:r>
      <w:r w:rsidR="00CD2301">
        <w:rPr>
          <w:rFonts w:ascii="Times New Roman" w:hAnsi="Times New Roman" w:cs="Times New Roman"/>
          <w:sz w:val="24"/>
          <w:szCs w:val="24"/>
        </w:rPr>
        <w:t xml:space="preserve">Kopīgi jau var arī </w:t>
      </w:r>
      <w:r w:rsidR="00214B51">
        <w:rPr>
          <w:rFonts w:ascii="Times New Roman" w:hAnsi="Times New Roman" w:cs="Times New Roman"/>
          <w:sz w:val="24"/>
          <w:szCs w:val="24"/>
        </w:rPr>
        <w:t xml:space="preserve">to </w:t>
      </w:r>
      <w:r w:rsidR="00CD2301">
        <w:rPr>
          <w:rFonts w:ascii="Times New Roman" w:hAnsi="Times New Roman" w:cs="Times New Roman"/>
          <w:sz w:val="24"/>
          <w:szCs w:val="24"/>
        </w:rPr>
        <w:t>glāzīti cilāt”</w:t>
      </w:r>
      <w:r w:rsidR="00214B51">
        <w:rPr>
          <w:rFonts w:ascii="Times New Roman" w:hAnsi="Times New Roman" w:cs="Times New Roman"/>
          <w:sz w:val="24"/>
          <w:szCs w:val="24"/>
        </w:rPr>
        <w:t>, bet attiecībā uz to, ka notiesātais ieslodzījumā ir parādījis savu nostāju attiecībā pret alkoholu, tiesnese norāda: „Šeit jūs varat parādīt tāpēc, ka jums neviens neielej”</w:t>
      </w:r>
      <w:r w:rsidR="00BC3305">
        <w:rPr>
          <w:rFonts w:ascii="Times New Roman" w:hAnsi="Times New Roman" w:cs="Times New Roman"/>
          <w:sz w:val="24"/>
          <w:szCs w:val="24"/>
        </w:rPr>
        <w:t>, u.c.</w:t>
      </w:r>
    </w:p>
    <w:p w14:paraId="2E8C86D5" w14:textId="622BB830" w:rsidR="0048303B" w:rsidRDefault="00453501" w:rsidP="0048303B">
      <w:pPr>
        <w:autoSpaceDE w:val="0"/>
        <w:spacing w:after="0" w:line="276" w:lineRule="auto"/>
        <w:ind w:firstLine="695"/>
        <w:jc w:val="both"/>
        <w:rPr>
          <w:rFonts w:ascii="Times New Roman" w:hAnsi="Times New Roman" w:cs="Times New Roman"/>
          <w:sz w:val="24"/>
          <w:szCs w:val="24"/>
        </w:rPr>
      </w:pPr>
      <w:r w:rsidRPr="006053B1">
        <w:rPr>
          <w:rFonts w:ascii="Times New Roman" w:hAnsi="Times New Roman" w:cs="Times New Roman"/>
          <w:sz w:val="24"/>
          <w:szCs w:val="24"/>
        </w:rPr>
        <w:t xml:space="preserve">Tiesnešu ētikas komisija atzīst, ka šādi </w:t>
      </w:r>
      <w:r w:rsidR="00BC3305" w:rsidRPr="006053B1">
        <w:rPr>
          <w:rFonts w:ascii="Times New Roman" w:hAnsi="Times New Roman" w:cs="Times New Roman"/>
          <w:sz w:val="24"/>
          <w:szCs w:val="24"/>
        </w:rPr>
        <w:t xml:space="preserve">izteikumi un </w:t>
      </w:r>
      <w:r w:rsidRPr="006053B1">
        <w:rPr>
          <w:rFonts w:ascii="Times New Roman" w:hAnsi="Times New Roman" w:cs="Times New Roman"/>
          <w:sz w:val="24"/>
          <w:szCs w:val="24"/>
        </w:rPr>
        <w:t xml:space="preserve">to </w:t>
      </w:r>
      <w:r w:rsidR="00BC3305" w:rsidRPr="006053B1">
        <w:rPr>
          <w:rFonts w:ascii="Times New Roman" w:hAnsi="Times New Roman" w:cs="Times New Roman"/>
          <w:sz w:val="24"/>
          <w:szCs w:val="24"/>
        </w:rPr>
        <w:t>izteiksmes veids</w:t>
      </w:r>
      <w:r w:rsidRPr="006053B1">
        <w:rPr>
          <w:rFonts w:ascii="Times New Roman" w:hAnsi="Times New Roman" w:cs="Times New Roman"/>
          <w:sz w:val="24"/>
          <w:szCs w:val="24"/>
        </w:rPr>
        <w:t xml:space="preserve"> ne tikai rada iespaidu, ka tiesa nav neitrāla, bet arī ir aizskarošs, pat ja tiesnesei nav bijis nolūks</w:t>
      </w:r>
      <w:r w:rsidR="001818D5" w:rsidRPr="006053B1">
        <w:rPr>
          <w:rFonts w:ascii="Times New Roman" w:hAnsi="Times New Roman" w:cs="Times New Roman"/>
          <w:sz w:val="24"/>
          <w:szCs w:val="24"/>
        </w:rPr>
        <w:t xml:space="preserve"> kādu aizskart</w:t>
      </w:r>
      <w:r w:rsidRPr="006053B1">
        <w:rPr>
          <w:rFonts w:ascii="Times New Roman" w:hAnsi="Times New Roman" w:cs="Times New Roman"/>
          <w:sz w:val="24"/>
          <w:szCs w:val="24"/>
        </w:rPr>
        <w:t xml:space="preserve">. </w:t>
      </w:r>
      <w:r w:rsidR="001818D5" w:rsidRPr="006053B1">
        <w:rPr>
          <w:rFonts w:ascii="Times New Roman" w:hAnsi="Times New Roman" w:cs="Times New Roman"/>
          <w:sz w:val="24"/>
          <w:szCs w:val="24"/>
        </w:rPr>
        <w:t xml:space="preserve">Šāds tiesas sēdes vadības stils var radīt šaubas arī par tiesas profesionalitāti. Tiesnešu ētikas komisija neizslēdz, ka </w:t>
      </w:r>
      <w:r w:rsidR="0048303B" w:rsidRPr="006053B1">
        <w:rPr>
          <w:rFonts w:ascii="Times New Roman" w:hAnsi="Times New Roman" w:cs="Times New Roman"/>
          <w:sz w:val="24"/>
          <w:szCs w:val="24"/>
        </w:rPr>
        <w:t>saruna ar procesa dalībniekiem varētu būt pietiekami atvērta un tāda, kas ir vērsta uz lietā būtisko apstākļu noskaidrošanu, taču tā nedrīkst būt vaļīga, nolaižoties līdz sadzīviskam līmenim. Kā to Tiesnešu ētikas komisija ir atzīmējusi jau iepriekš, vadot tiesas sēdi, tiesnesim jādarbojas likumā noteikto tiesību un pienākumu robežās, noskaidrojot lietā nozīmīgos faktus un apstākļus, uzdodot jautājumus par tiem</w:t>
      </w:r>
      <w:r w:rsidR="006053B1" w:rsidRPr="006053B1">
        <w:rPr>
          <w:rFonts w:ascii="Times New Roman" w:hAnsi="Times New Roman" w:cs="Times New Roman"/>
          <w:sz w:val="24"/>
          <w:szCs w:val="24"/>
        </w:rPr>
        <w:t>,</w:t>
      </w:r>
      <w:r w:rsidR="0048303B" w:rsidRPr="006053B1">
        <w:rPr>
          <w:rFonts w:ascii="Times New Roman" w:hAnsi="Times New Roman" w:cs="Times New Roman"/>
          <w:sz w:val="24"/>
          <w:szCs w:val="24"/>
        </w:rPr>
        <w:t xml:space="preserve"> un visas situācijas tiesas zālē risinot ar likumā paredzēto procesuālo līdzekļu palīdzību</w:t>
      </w:r>
      <w:r w:rsidR="006053B1" w:rsidRPr="006053B1">
        <w:rPr>
          <w:rFonts w:ascii="Times New Roman" w:hAnsi="Times New Roman" w:cs="Times New Roman"/>
          <w:sz w:val="24"/>
          <w:szCs w:val="24"/>
        </w:rPr>
        <w:t xml:space="preserve">. Pieteikuma juridiskais vērtējums tiesnesim jāsniedz nolēmumā, izvērtējot pušu paskaidrojumus, iesniegtos pierādījumus un pieteikuma pamatotību, nevis ar sadzīvisku komentāru palīdzību tiesas zālē </w:t>
      </w:r>
      <w:bookmarkStart w:id="1" w:name="_Hlk40353514"/>
      <w:r w:rsidR="006053B1" w:rsidRPr="006053B1">
        <w:rPr>
          <w:rFonts w:ascii="Times New Roman" w:hAnsi="Times New Roman" w:cs="Times New Roman"/>
          <w:sz w:val="24"/>
          <w:szCs w:val="24"/>
        </w:rPr>
        <w:t xml:space="preserve">(sk. </w:t>
      </w:r>
      <w:r w:rsidR="006053B1" w:rsidRPr="006053B1">
        <w:rPr>
          <w:rFonts w:ascii="Times New Roman" w:hAnsi="Times New Roman" w:cs="Times New Roman"/>
          <w:i/>
          <w:iCs/>
          <w:sz w:val="24"/>
          <w:szCs w:val="24"/>
        </w:rPr>
        <w:t>Tiesnešu ētikas komisijas 2018.gada 13.jūlija atzinuma 9.punktu</w:t>
      </w:r>
      <w:r w:rsidR="006053B1" w:rsidRPr="006053B1">
        <w:rPr>
          <w:rFonts w:ascii="Times New Roman" w:hAnsi="Times New Roman" w:cs="Times New Roman"/>
          <w:sz w:val="24"/>
          <w:szCs w:val="24"/>
        </w:rPr>
        <w:t>)</w:t>
      </w:r>
      <w:bookmarkEnd w:id="1"/>
      <w:r w:rsidR="006053B1" w:rsidRPr="006053B1">
        <w:rPr>
          <w:rFonts w:ascii="Times New Roman" w:hAnsi="Times New Roman" w:cs="Times New Roman"/>
          <w:sz w:val="24"/>
          <w:szCs w:val="24"/>
        </w:rPr>
        <w:t>.</w:t>
      </w:r>
    </w:p>
    <w:p w14:paraId="42460226" w14:textId="7E2F3E0D" w:rsidR="005B6AE7" w:rsidRDefault="005B6AE7" w:rsidP="0048303B">
      <w:pPr>
        <w:autoSpaceDE w:val="0"/>
        <w:spacing w:after="0" w:line="276" w:lineRule="auto"/>
        <w:ind w:firstLine="695"/>
        <w:jc w:val="both"/>
        <w:rPr>
          <w:rFonts w:ascii="Times New Roman" w:hAnsi="Times New Roman" w:cs="Times New Roman"/>
          <w:sz w:val="24"/>
          <w:szCs w:val="24"/>
        </w:rPr>
      </w:pPr>
      <w:r>
        <w:rPr>
          <w:rFonts w:ascii="Times New Roman" w:hAnsi="Times New Roman" w:cs="Times New Roman"/>
          <w:sz w:val="24"/>
          <w:szCs w:val="24"/>
        </w:rPr>
        <w:t>Tiesnese ir norādījusi uz apstākļiem</w:t>
      </w:r>
      <w:r w:rsidR="00CE05D9">
        <w:rPr>
          <w:rFonts w:ascii="Times New Roman" w:hAnsi="Times New Roman" w:cs="Times New Roman"/>
          <w:sz w:val="24"/>
          <w:szCs w:val="24"/>
        </w:rPr>
        <w:t xml:space="preserve">, kas ietekmējuši viņas rīcību, proti, </w:t>
      </w:r>
      <w:r w:rsidR="00D7708F">
        <w:rPr>
          <w:rFonts w:ascii="Times New Roman" w:hAnsi="Times New Roman" w:cs="Times New Roman"/>
          <w:sz w:val="24"/>
          <w:szCs w:val="24"/>
        </w:rPr>
        <w:t xml:space="preserve">uz </w:t>
      </w:r>
      <w:r w:rsidR="00CE05D9">
        <w:rPr>
          <w:rFonts w:ascii="Times New Roman" w:hAnsi="Times New Roman" w:cs="Times New Roman"/>
          <w:sz w:val="24"/>
          <w:szCs w:val="24"/>
        </w:rPr>
        <w:t>stresu, ko radījusi videokonference un steiga, kā arī</w:t>
      </w:r>
      <w:r w:rsidR="00D7708F">
        <w:rPr>
          <w:rFonts w:ascii="Times New Roman" w:hAnsi="Times New Roman" w:cs="Times New Roman"/>
          <w:sz w:val="24"/>
          <w:szCs w:val="24"/>
        </w:rPr>
        <w:t xml:space="preserve"> uz</w:t>
      </w:r>
      <w:r w:rsidR="00CE05D9">
        <w:rPr>
          <w:rFonts w:ascii="Times New Roman" w:hAnsi="Times New Roman" w:cs="Times New Roman"/>
          <w:sz w:val="24"/>
          <w:szCs w:val="24"/>
        </w:rPr>
        <w:t xml:space="preserve"> informācij</w:t>
      </w:r>
      <w:r w:rsidR="00D7708F">
        <w:rPr>
          <w:rFonts w:ascii="Times New Roman" w:hAnsi="Times New Roman" w:cs="Times New Roman"/>
          <w:sz w:val="24"/>
          <w:szCs w:val="24"/>
        </w:rPr>
        <w:t>u</w:t>
      </w:r>
      <w:r w:rsidR="00CE05D9">
        <w:rPr>
          <w:rFonts w:ascii="Times New Roman" w:hAnsi="Times New Roman" w:cs="Times New Roman"/>
          <w:sz w:val="24"/>
          <w:szCs w:val="24"/>
        </w:rPr>
        <w:t xml:space="preserve">, kas iegūta par notiesāto. </w:t>
      </w:r>
      <w:r>
        <w:rPr>
          <w:rFonts w:ascii="Times New Roman" w:hAnsi="Times New Roman" w:cs="Times New Roman"/>
          <w:sz w:val="24"/>
          <w:szCs w:val="24"/>
        </w:rPr>
        <w:t xml:space="preserve">Tiesnešu ētikas komisija </w:t>
      </w:r>
      <w:r w:rsidR="00D7708F">
        <w:rPr>
          <w:rFonts w:ascii="Times New Roman" w:hAnsi="Times New Roman" w:cs="Times New Roman"/>
          <w:sz w:val="24"/>
          <w:szCs w:val="24"/>
        </w:rPr>
        <w:t>nenoliedz, ka cilvēciski gan vieni, gan otri apstākļi var ietekmēt tiesnesi. Tiesnešu ētikas komisija arī pieļauj, ka tiesneses lielā pieredze, ņemot vērā arī iegūto informāciju par notiesāto, likusi modelēt iespējamos notiesātā dzīves scenārijus nākotnē, un, domājot par sievietes un viņas bērna labklājību, tas varēja emocionāli ietekmēt tiesnesi. Taču, kā jau minēts un kā to atzīst pati tiesnese, tas nav attaisnojums</w:t>
      </w:r>
      <w:r w:rsidR="009A4EB0">
        <w:rPr>
          <w:rFonts w:ascii="Times New Roman" w:hAnsi="Times New Roman" w:cs="Times New Roman"/>
          <w:sz w:val="24"/>
          <w:szCs w:val="24"/>
        </w:rPr>
        <w:t xml:space="preserve"> neatbilstošai rīcībai tiesas sēdē, tiesai savs viedoklis ir jānoformulē juridisku apsvērumu veidā savā nolēmumā. </w:t>
      </w:r>
    </w:p>
    <w:p w14:paraId="6732A229" w14:textId="77777777" w:rsidR="003B68A2" w:rsidRPr="003B68A2" w:rsidRDefault="00225EE4" w:rsidP="003B68A2">
      <w:pPr>
        <w:spacing w:after="0" w:line="276" w:lineRule="auto"/>
        <w:ind w:firstLine="720"/>
        <w:jc w:val="both"/>
        <w:rPr>
          <w:rFonts w:ascii="Times New Roman" w:hAnsi="Times New Roman" w:cs="Times New Roman"/>
          <w:sz w:val="24"/>
          <w:szCs w:val="24"/>
        </w:rPr>
      </w:pPr>
      <w:r w:rsidRPr="00225EE4">
        <w:rPr>
          <w:rFonts w:ascii="Times New Roman" w:hAnsi="Times New Roman" w:cs="Times New Roman"/>
          <w:sz w:val="24"/>
          <w:szCs w:val="24"/>
        </w:rPr>
        <w:t xml:space="preserve">Ievērojot minēto, Tiesnešu ētikas komisija atzīst, ka tiesnese </w:t>
      </w:r>
      <w:r w:rsidR="00E83086">
        <w:rPr>
          <w:rFonts w:ascii="Times New Roman" w:hAnsi="Times New Roman" w:cs="Times New Roman"/>
          <w:sz w:val="24"/>
          <w:szCs w:val="24"/>
        </w:rPr>
        <w:t xml:space="preserve">tiesas sēdē </w:t>
      </w:r>
      <w:r w:rsidRPr="00225EE4">
        <w:rPr>
          <w:rFonts w:ascii="Times New Roman" w:hAnsi="Times New Roman" w:cs="Times New Roman"/>
          <w:sz w:val="24"/>
          <w:szCs w:val="24"/>
        </w:rPr>
        <w:t>nav ievērojusi</w:t>
      </w:r>
      <w:r>
        <w:rPr>
          <w:rFonts w:ascii="Times New Roman" w:hAnsi="Times New Roman" w:cs="Times New Roman"/>
          <w:sz w:val="24"/>
          <w:szCs w:val="24"/>
        </w:rPr>
        <w:t xml:space="preserve"> kodeksa </w:t>
      </w:r>
      <w:r w:rsidR="00E83086">
        <w:rPr>
          <w:rFonts w:ascii="Times New Roman" w:hAnsi="Times New Roman" w:cs="Times New Roman"/>
          <w:sz w:val="24"/>
          <w:szCs w:val="24"/>
        </w:rPr>
        <w:t xml:space="preserve">2.kanona 3.punktu, 3.kanonu un tā 5., 7. un 8.punktu, kā arī </w:t>
      </w:r>
      <w:r w:rsidRPr="00225EE4">
        <w:rPr>
          <w:rFonts w:ascii="Times New Roman" w:hAnsi="Times New Roman" w:cs="Times New Roman"/>
          <w:sz w:val="24"/>
          <w:szCs w:val="24"/>
        </w:rPr>
        <w:t xml:space="preserve">nav ņēmusi vērā Tiesnešu ētikas komisijas jau iepriekšējos atzinumos un skaidrojumos norādīto, tai skaitā to, ka </w:t>
      </w:r>
      <w:r w:rsidR="009A4EB0" w:rsidRPr="009A4EB0">
        <w:rPr>
          <w:rFonts w:ascii="Times New Roman" w:hAnsi="Times New Roman" w:cs="Times New Roman"/>
          <w:sz w:val="24"/>
          <w:szCs w:val="24"/>
        </w:rPr>
        <w:t>pēc jebkuras tiesneša rīcības sabiedrība vērtē arī viņa spējas izskatīt tiesu lietas taisnīgi, neatkarīgi un objektīvi. Turklāt katra tiesneša uzvedība atstāj iespaidu uz sabiedrības viedokli par tiesu varu (</w:t>
      </w:r>
      <w:r w:rsidR="009A4EB0" w:rsidRPr="009A4EB0">
        <w:rPr>
          <w:rFonts w:ascii="Times New Roman" w:hAnsi="Times New Roman" w:cs="Times New Roman"/>
          <w:iCs/>
          <w:sz w:val="24"/>
          <w:szCs w:val="24"/>
        </w:rPr>
        <w:t>sk.</w:t>
      </w:r>
      <w:r w:rsidR="009A4EB0" w:rsidRPr="009A4EB0">
        <w:rPr>
          <w:rFonts w:ascii="Times New Roman" w:hAnsi="Times New Roman" w:cs="Times New Roman"/>
          <w:i/>
          <w:sz w:val="24"/>
          <w:szCs w:val="24"/>
        </w:rPr>
        <w:t xml:space="preserve"> Tiesnešu ētikas komisijas 2015.gada 16.oktobra skaidrojuma 3.punktu</w:t>
      </w:r>
      <w:r w:rsidR="009A4EB0" w:rsidRPr="009A4EB0">
        <w:rPr>
          <w:rFonts w:ascii="Times New Roman" w:hAnsi="Times New Roman" w:cs="Times New Roman"/>
          <w:sz w:val="24"/>
          <w:szCs w:val="24"/>
        </w:rPr>
        <w:t xml:space="preserve">) un sekmē vai grauj tiesu varas autoritāti. </w:t>
      </w:r>
      <w:r w:rsidR="009A4EB0" w:rsidRPr="009A4EB0">
        <w:rPr>
          <w:rFonts w:ascii="Times New Roman" w:eastAsia="Times New Roman" w:hAnsi="Times New Roman" w:cs="Times New Roman"/>
          <w:sz w:val="24"/>
          <w:szCs w:val="24"/>
        </w:rPr>
        <w:t>Šā</w:t>
      </w:r>
      <w:r w:rsidR="009A4EB0" w:rsidRPr="009A4EB0">
        <w:rPr>
          <w:rFonts w:ascii="Times New Roman" w:hAnsi="Times New Roman" w:cs="Times New Roman"/>
          <w:sz w:val="24"/>
          <w:szCs w:val="24"/>
        </w:rPr>
        <w:t>dā situācijā persona uzlūko konkrēto tiesnesi kā visu tiesu varu pārstāvošu un asociē pret sevi vērsto rīcību ar tiesu varas attieksmi kopumā. Tādējādi katra tiesneša rīcība ietekmē tiesu varas autoritāti</w:t>
      </w:r>
      <w:r w:rsidR="009A4EB0">
        <w:rPr>
          <w:rFonts w:ascii="Times New Roman" w:hAnsi="Times New Roman" w:cs="Times New Roman"/>
          <w:sz w:val="24"/>
          <w:szCs w:val="24"/>
        </w:rPr>
        <w:t xml:space="preserve"> </w:t>
      </w:r>
      <w:r w:rsidR="009A4EB0" w:rsidRPr="009A4EB0">
        <w:rPr>
          <w:rFonts w:ascii="Times New Roman" w:hAnsi="Times New Roman" w:cs="Times New Roman"/>
          <w:sz w:val="24"/>
          <w:szCs w:val="24"/>
        </w:rPr>
        <w:t xml:space="preserve">(sk. </w:t>
      </w:r>
      <w:r w:rsidR="009A4EB0" w:rsidRPr="009A4EB0">
        <w:rPr>
          <w:rFonts w:ascii="Times New Roman" w:hAnsi="Times New Roman" w:cs="Times New Roman"/>
          <w:i/>
          <w:iCs/>
          <w:sz w:val="24"/>
          <w:szCs w:val="24"/>
        </w:rPr>
        <w:t>Tiesnešu ētikas komisijas 2018.gada 13.jūlija atzinum</w:t>
      </w:r>
      <w:r w:rsidR="009A4EB0" w:rsidRPr="003B68A2">
        <w:rPr>
          <w:rFonts w:ascii="Times New Roman" w:hAnsi="Times New Roman" w:cs="Times New Roman"/>
          <w:i/>
          <w:iCs/>
          <w:sz w:val="24"/>
          <w:szCs w:val="24"/>
        </w:rPr>
        <w:t>a 9.punktu</w:t>
      </w:r>
      <w:r w:rsidR="009A4EB0" w:rsidRPr="003B68A2">
        <w:rPr>
          <w:rFonts w:ascii="Times New Roman" w:hAnsi="Times New Roman" w:cs="Times New Roman"/>
          <w:sz w:val="24"/>
          <w:szCs w:val="24"/>
        </w:rPr>
        <w:t>).</w:t>
      </w:r>
    </w:p>
    <w:p w14:paraId="2C05EBA2" w14:textId="0C562771" w:rsidR="00A151ED" w:rsidRDefault="003B68A2" w:rsidP="00A151ED">
      <w:pPr>
        <w:spacing w:after="0" w:line="276" w:lineRule="auto"/>
        <w:ind w:firstLine="720"/>
        <w:jc w:val="both"/>
        <w:rPr>
          <w:rFonts w:ascii="Times New Roman" w:hAnsi="Times New Roman" w:cs="Times New Roman"/>
          <w:sz w:val="24"/>
          <w:szCs w:val="24"/>
        </w:rPr>
      </w:pPr>
      <w:r w:rsidRPr="00D63C32">
        <w:rPr>
          <w:rFonts w:ascii="Times New Roman" w:hAnsi="Times New Roman" w:cs="Times New Roman"/>
          <w:sz w:val="24"/>
          <w:szCs w:val="24"/>
        </w:rPr>
        <w:t xml:space="preserve">Tiesnešu ētikas komisija </w:t>
      </w:r>
      <w:r w:rsidR="00597ABE" w:rsidRPr="00D63C32">
        <w:rPr>
          <w:rFonts w:ascii="Times New Roman" w:hAnsi="Times New Roman" w:cs="Times New Roman"/>
          <w:sz w:val="24"/>
          <w:szCs w:val="24"/>
        </w:rPr>
        <w:t xml:space="preserve">uzskata, ka </w:t>
      </w:r>
      <w:r w:rsidRPr="00D63C32">
        <w:rPr>
          <w:rFonts w:ascii="Times New Roman" w:hAnsi="Times New Roman" w:cs="Times New Roman"/>
          <w:sz w:val="24"/>
          <w:szCs w:val="24"/>
        </w:rPr>
        <w:t xml:space="preserve">konkrētās lietas apstākļu kontekstā pārkāpums </w:t>
      </w:r>
      <w:r w:rsidR="00597ABE" w:rsidRPr="00D63C32">
        <w:rPr>
          <w:rFonts w:ascii="Times New Roman" w:hAnsi="Times New Roman" w:cs="Times New Roman"/>
          <w:sz w:val="24"/>
          <w:szCs w:val="24"/>
        </w:rPr>
        <w:t xml:space="preserve">nav atzīstams par </w:t>
      </w:r>
      <w:r w:rsidRPr="00D63C32">
        <w:rPr>
          <w:rFonts w:ascii="Times New Roman" w:hAnsi="Times New Roman" w:cs="Times New Roman"/>
          <w:sz w:val="24"/>
          <w:szCs w:val="24"/>
        </w:rPr>
        <w:t>rupj</w:t>
      </w:r>
      <w:r w:rsidR="00597ABE" w:rsidRPr="00D63C32">
        <w:rPr>
          <w:rFonts w:ascii="Times New Roman" w:hAnsi="Times New Roman" w:cs="Times New Roman"/>
          <w:sz w:val="24"/>
          <w:szCs w:val="24"/>
        </w:rPr>
        <w:t xml:space="preserve">u. Proti, lietas apstākļi bija tādi, kas varēja radīt tiesnesei </w:t>
      </w:r>
      <w:r w:rsidR="00A151ED" w:rsidRPr="00D63C32">
        <w:rPr>
          <w:rFonts w:ascii="Times New Roman" w:hAnsi="Times New Roman" w:cs="Times New Roman"/>
          <w:sz w:val="24"/>
          <w:szCs w:val="24"/>
        </w:rPr>
        <w:t xml:space="preserve">emocionālu </w:t>
      </w:r>
      <w:r w:rsidR="00A151ED" w:rsidRPr="00D63C32">
        <w:rPr>
          <w:rFonts w:ascii="Times New Roman" w:hAnsi="Times New Roman" w:cs="Times New Roman"/>
          <w:sz w:val="24"/>
          <w:szCs w:val="24"/>
        </w:rPr>
        <w:lastRenderedPageBreak/>
        <w:t>pārdzīvojumu un, lai arī no profesionālā viedokļa tas nav attaisnojams, cilvēciski ir saprotams. Citādi būtu tad, ja šāda rīcība ne ar ko nebūtu izskaidrojama. Turklāt Tiesnešu ētikas komisija ņem vērā, ka tiesnese ir pārvērtējusi savu rīcību un atzinusi, ka nav rīkojusies pareizi</w:t>
      </w:r>
      <w:r w:rsidR="004E2C3E" w:rsidRPr="00D63C32">
        <w:rPr>
          <w:rFonts w:ascii="Times New Roman" w:hAnsi="Times New Roman" w:cs="Times New Roman"/>
          <w:sz w:val="24"/>
          <w:szCs w:val="24"/>
        </w:rPr>
        <w:t>. Tādējādi mērķis apzināties tiesnešu uzvedības standartus un to būtību, kā arī nepieciešamību tos ievērot, ir panākts.</w:t>
      </w:r>
    </w:p>
    <w:p w14:paraId="3515CC16" w14:textId="77777777" w:rsidR="003B68A2" w:rsidRPr="003B68A2" w:rsidRDefault="003B68A2" w:rsidP="003B68A2">
      <w:pPr>
        <w:spacing w:after="0" w:line="276" w:lineRule="auto"/>
        <w:ind w:firstLine="720"/>
        <w:jc w:val="both"/>
        <w:rPr>
          <w:rFonts w:ascii="Times New Roman" w:hAnsi="Times New Roman" w:cs="Times New Roman"/>
          <w:sz w:val="24"/>
          <w:szCs w:val="24"/>
        </w:rPr>
      </w:pPr>
    </w:p>
    <w:p w14:paraId="570210A0" w14:textId="1C83E759" w:rsidR="00F41967" w:rsidRPr="003B68A2" w:rsidRDefault="00F41967" w:rsidP="003B68A2">
      <w:pPr>
        <w:spacing w:after="0" w:line="276" w:lineRule="auto"/>
        <w:ind w:firstLine="720"/>
        <w:jc w:val="both"/>
        <w:rPr>
          <w:rFonts w:ascii="Times New Roman" w:hAnsi="Times New Roman" w:cs="Times New Roman"/>
          <w:sz w:val="24"/>
          <w:szCs w:val="24"/>
        </w:rPr>
      </w:pPr>
      <w:r w:rsidRPr="003B68A2">
        <w:rPr>
          <w:rFonts w:ascii="Times New Roman" w:hAnsi="Times New Roman" w:cs="Times New Roman"/>
          <w:sz w:val="24"/>
          <w:szCs w:val="24"/>
        </w:rPr>
        <w:t>Ņemot vērā minēto, Tiesnešu ētikas komisija</w:t>
      </w:r>
    </w:p>
    <w:p w14:paraId="3FDC216D" w14:textId="77777777" w:rsidR="00F41967" w:rsidRPr="00E83086" w:rsidRDefault="00F41967" w:rsidP="00D312C8">
      <w:pPr>
        <w:spacing w:after="0" w:line="276" w:lineRule="auto"/>
        <w:jc w:val="center"/>
        <w:rPr>
          <w:rFonts w:ascii="Times New Roman" w:hAnsi="Times New Roman" w:cs="Times New Roman"/>
          <w:b/>
          <w:spacing w:val="20"/>
          <w:sz w:val="24"/>
          <w:szCs w:val="24"/>
        </w:rPr>
      </w:pPr>
    </w:p>
    <w:p w14:paraId="0544AD8F" w14:textId="1FC7678C" w:rsidR="00F41967" w:rsidRPr="00E83086" w:rsidRDefault="00F41967" w:rsidP="00D312C8">
      <w:pPr>
        <w:spacing w:after="0" w:line="276" w:lineRule="auto"/>
        <w:jc w:val="center"/>
        <w:rPr>
          <w:rFonts w:ascii="Times New Roman" w:hAnsi="Times New Roman" w:cs="Times New Roman"/>
          <w:b/>
          <w:spacing w:val="20"/>
          <w:sz w:val="24"/>
          <w:szCs w:val="24"/>
        </w:rPr>
      </w:pPr>
      <w:r w:rsidRPr="00E83086">
        <w:rPr>
          <w:rFonts w:ascii="Times New Roman" w:hAnsi="Times New Roman" w:cs="Times New Roman"/>
          <w:b/>
          <w:spacing w:val="20"/>
          <w:sz w:val="24"/>
          <w:szCs w:val="24"/>
        </w:rPr>
        <w:t>atzīst:</w:t>
      </w:r>
    </w:p>
    <w:p w14:paraId="13379B98" w14:textId="77777777" w:rsidR="00F41967" w:rsidRPr="00E83086" w:rsidRDefault="00F41967" w:rsidP="00D312C8">
      <w:pPr>
        <w:spacing w:after="0" w:line="276" w:lineRule="auto"/>
        <w:ind w:firstLine="720"/>
        <w:jc w:val="both"/>
        <w:rPr>
          <w:rFonts w:ascii="Times New Roman" w:hAnsi="Times New Roman" w:cs="Times New Roman"/>
          <w:sz w:val="24"/>
          <w:szCs w:val="24"/>
        </w:rPr>
      </w:pPr>
    </w:p>
    <w:p w14:paraId="36C2FBD9" w14:textId="73BFADC5" w:rsidR="00F41967" w:rsidRPr="00E83086" w:rsidRDefault="00F41967" w:rsidP="00D312C8">
      <w:pPr>
        <w:spacing w:after="0" w:line="276" w:lineRule="auto"/>
        <w:ind w:firstLine="720"/>
        <w:jc w:val="both"/>
        <w:rPr>
          <w:rFonts w:ascii="Times New Roman" w:hAnsi="Times New Roman" w:cs="Times New Roman"/>
          <w:sz w:val="24"/>
          <w:szCs w:val="24"/>
        </w:rPr>
      </w:pPr>
      <w:r w:rsidRPr="00E83086">
        <w:rPr>
          <w:rFonts w:ascii="Times New Roman" w:hAnsi="Times New Roman" w:cs="Times New Roman"/>
          <w:sz w:val="24"/>
          <w:szCs w:val="24"/>
        </w:rPr>
        <w:t>tiesne</w:t>
      </w:r>
      <w:r w:rsidR="00E83086">
        <w:rPr>
          <w:rFonts w:ascii="Times New Roman" w:hAnsi="Times New Roman" w:cs="Times New Roman"/>
          <w:sz w:val="24"/>
          <w:szCs w:val="24"/>
        </w:rPr>
        <w:t xml:space="preserve">ses </w:t>
      </w:r>
      <w:r w:rsidRPr="00E83086">
        <w:rPr>
          <w:rFonts w:ascii="Times New Roman" w:hAnsi="Times New Roman" w:cs="Times New Roman"/>
          <w:sz w:val="24"/>
          <w:szCs w:val="24"/>
        </w:rPr>
        <w:t xml:space="preserve">rīcībā ir konstatējams Latvijas </w:t>
      </w:r>
      <w:r w:rsidR="00E83086" w:rsidRPr="00E83086">
        <w:rPr>
          <w:rFonts w:ascii="Times New Roman" w:hAnsi="Times New Roman" w:cs="Times New Roman"/>
          <w:sz w:val="24"/>
          <w:szCs w:val="24"/>
        </w:rPr>
        <w:t>t</w:t>
      </w:r>
      <w:r w:rsidRPr="00E83086">
        <w:rPr>
          <w:rFonts w:ascii="Times New Roman" w:hAnsi="Times New Roman" w:cs="Times New Roman"/>
          <w:sz w:val="24"/>
          <w:szCs w:val="24"/>
        </w:rPr>
        <w:t xml:space="preserve">iesnešu ētikas kodeksa </w:t>
      </w:r>
      <w:bookmarkStart w:id="2" w:name="_Hlk522628117"/>
      <w:r w:rsidR="00E83086" w:rsidRPr="00E83086">
        <w:rPr>
          <w:rFonts w:ascii="Times New Roman" w:hAnsi="Times New Roman" w:cs="Times New Roman"/>
          <w:sz w:val="24"/>
          <w:szCs w:val="24"/>
        </w:rPr>
        <w:t>2.</w:t>
      </w:r>
      <w:r w:rsidRPr="00E83086">
        <w:rPr>
          <w:rFonts w:ascii="Times New Roman" w:hAnsi="Times New Roman" w:cs="Times New Roman"/>
          <w:sz w:val="24"/>
          <w:szCs w:val="24"/>
        </w:rPr>
        <w:t>kanona 3.punkta,</w:t>
      </w:r>
      <w:r w:rsidR="00E83086" w:rsidRPr="00E83086">
        <w:rPr>
          <w:rFonts w:ascii="Times New Roman" w:hAnsi="Times New Roman" w:cs="Times New Roman"/>
          <w:sz w:val="24"/>
          <w:szCs w:val="24"/>
        </w:rPr>
        <w:t xml:space="preserve"> </w:t>
      </w:r>
      <w:r w:rsidRPr="00E83086">
        <w:rPr>
          <w:rFonts w:ascii="Times New Roman" w:hAnsi="Times New Roman" w:cs="Times New Roman"/>
          <w:sz w:val="24"/>
          <w:szCs w:val="24"/>
        </w:rPr>
        <w:t xml:space="preserve">3.kanona </w:t>
      </w:r>
      <w:r w:rsidR="00E83086" w:rsidRPr="00E83086">
        <w:rPr>
          <w:rFonts w:ascii="Times New Roman" w:hAnsi="Times New Roman" w:cs="Times New Roman"/>
          <w:sz w:val="24"/>
          <w:szCs w:val="24"/>
        </w:rPr>
        <w:t>un tā 5., 7. un</w:t>
      </w:r>
      <w:r w:rsidRPr="00E83086">
        <w:rPr>
          <w:rFonts w:ascii="Times New Roman" w:hAnsi="Times New Roman" w:cs="Times New Roman"/>
          <w:sz w:val="24"/>
          <w:szCs w:val="24"/>
        </w:rPr>
        <w:t xml:space="preserve"> 8.punkta</w:t>
      </w:r>
      <w:bookmarkEnd w:id="2"/>
      <w:r w:rsidRPr="00E83086">
        <w:rPr>
          <w:rFonts w:ascii="Times New Roman" w:hAnsi="Times New Roman" w:cs="Times New Roman"/>
          <w:sz w:val="24"/>
          <w:szCs w:val="24"/>
        </w:rPr>
        <w:t xml:space="preserve"> pārkāpums</w:t>
      </w:r>
      <w:r w:rsidR="00E83086" w:rsidRPr="00E83086">
        <w:rPr>
          <w:rFonts w:ascii="Times New Roman" w:hAnsi="Times New Roman" w:cs="Times New Roman"/>
          <w:sz w:val="24"/>
          <w:szCs w:val="24"/>
        </w:rPr>
        <w:t>.</w:t>
      </w:r>
    </w:p>
    <w:p w14:paraId="6F5A8160" w14:textId="77777777" w:rsidR="00F41967" w:rsidRPr="00D312C8" w:rsidRDefault="00F41967" w:rsidP="00D312C8">
      <w:pPr>
        <w:spacing w:after="0" w:line="276" w:lineRule="auto"/>
        <w:jc w:val="both"/>
        <w:rPr>
          <w:rFonts w:ascii="Times New Roman" w:hAnsi="Times New Roman" w:cs="Times New Roman"/>
          <w:sz w:val="24"/>
          <w:szCs w:val="24"/>
        </w:rPr>
      </w:pPr>
    </w:p>
    <w:p w14:paraId="7E223B94" w14:textId="13DF9795" w:rsidR="00F41967" w:rsidRPr="00D312C8" w:rsidRDefault="00F41967" w:rsidP="00D312C8">
      <w:pPr>
        <w:tabs>
          <w:tab w:val="left" w:pos="6379"/>
        </w:tabs>
        <w:spacing w:after="0" w:line="276" w:lineRule="auto"/>
        <w:jc w:val="both"/>
        <w:rPr>
          <w:rFonts w:ascii="Times New Roman" w:hAnsi="Times New Roman" w:cs="Times New Roman"/>
          <w:sz w:val="24"/>
          <w:szCs w:val="24"/>
        </w:rPr>
      </w:pPr>
      <w:r w:rsidRPr="00D312C8">
        <w:rPr>
          <w:rFonts w:ascii="Times New Roman" w:hAnsi="Times New Roman" w:cs="Times New Roman"/>
          <w:sz w:val="24"/>
          <w:szCs w:val="24"/>
        </w:rPr>
        <w:t>Komisijas priekšsēdētāja</w:t>
      </w:r>
      <w:r w:rsidRPr="00D312C8">
        <w:rPr>
          <w:rFonts w:ascii="Times New Roman" w:hAnsi="Times New Roman" w:cs="Times New Roman"/>
          <w:sz w:val="24"/>
          <w:szCs w:val="24"/>
        </w:rPr>
        <w:tab/>
      </w:r>
      <w:r w:rsidRPr="00D312C8">
        <w:rPr>
          <w:rFonts w:ascii="Times New Roman" w:hAnsi="Times New Roman" w:cs="Times New Roman"/>
          <w:sz w:val="24"/>
          <w:szCs w:val="24"/>
        </w:rPr>
        <w:tab/>
        <w:t>Dzintra Amerika</w:t>
      </w:r>
    </w:p>
    <w:p w14:paraId="03C6D8DE" w14:textId="77777777" w:rsidR="00F41967" w:rsidRPr="00D312C8" w:rsidRDefault="00F41967" w:rsidP="00D312C8">
      <w:pPr>
        <w:tabs>
          <w:tab w:val="left" w:pos="6379"/>
        </w:tabs>
        <w:spacing w:after="0" w:line="276" w:lineRule="auto"/>
        <w:jc w:val="both"/>
        <w:rPr>
          <w:rFonts w:ascii="Times New Roman" w:hAnsi="Times New Roman" w:cs="Times New Roman"/>
          <w:sz w:val="24"/>
          <w:szCs w:val="24"/>
        </w:rPr>
      </w:pPr>
    </w:p>
    <w:p w14:paraId="4A1007F6" w14:textId="7E7A76CA" w:rsidR="00F41967" w:rsidRPr="00D312C8" w:rsidRDefault="00F41967" w:rsidP="00D312C8">
      <w:pPr>
        <w:spacing w:after="0" w:line="276" w:lineRule="auto"/>
        <w:jc w:val="both"/>
        <w:rPr>
          <w:rFonts w:ascii="Times New Roman" w:hAnsi="Times New Roman" w:cs="Times New Roman"/>
          <w:sz w:val="24"/>
          <w:szCs w:val="24"/>
        </w:rPr>
      </w:pPr>
      <w:r w:rsidRPr="00D312C8">
        <w:rPr>
          <w:rFonts w:ascii="Times New Roman" w:hAnsi="Times New Roman" w:cs="Times New Roman"/>
          <w:sz w:val="24"/>
          <w:szCs w:val="24"/>
        </w:rPr>
        <w:t>Komisijas locekļi</w:t>
      </w:r>
      <w:r w:rsidRPr="00D312C8">
        <w:rPr>
          <w:rFonts w:ascii="Times New Roman" w:hAnsi="Times New Roman" w:cs="Times New Roman"/>
          <w:sz w:val="24"/>
          <w:szCs w:val="24"/>
        </w:rPr>
        <w:tab/>
      </w:r>
      <w:r w:rsidRPr="00D312C8">
        <w:rPr>
          <w:rFonts w:ascii="Times New Roman" w:hAnsi="Times New Roman" w:cs="Times New Roman"/>
          <w:sz w:val="24"/>
          <w:szCs w:val="24"/>
        </w:rPr>
        <w:tab/>
      </w:r>
      <w:r w:rsidRPr="00D312C8">
        <w:rPr>
          <w:rFonts w:ascii="Times New Roman" w:hAnsi="Times New Roman" w:cs="Times New Roman"/>
          <w:sz w:val="24"/>
          <w:szCs w:val="24"/>
        </w:rPr>
        <w:tab/>
      </w:r>
      <w:r w:rsidRPr="00D312C8">
        <w:rPr>
          <w:rFonts w:ascii="Times New Roman" w:hAnsi="Times New Roman" w:cs="Times New Roman"/>
          <w:sz w:val="24"/>
          <w:szCs w:val="24"/>
        </w:rPr>
        <w:tab/>
      </w:r>
      <w:r w:rsidRPr="00D312C8">
        <w:rPr>
          <w:rFonts w:ascii="Times New Roman" w:hAnsi="Times New Roman" w:cs="Times New Roman"/>
          <w:sz w:val="24"/>
          <w:szCs w:val="24"/>
        </w:rPr>
        <w:tab/>
      </w:r>
      <w:r w:rsidRPr="00D312C8">
        <w:rPr>
          <w:rFonts w:ascii="Times New Roman" w:hAnsi="Times New Roman" w:cs="Times New Roman"/>
          <w:sz w:val="24"/>
          <w:szCs w:val="24"/>
        </w:rPr>
        <w:tab/>
      </w:r>
      <w:r w:rsidRPr="00D312C8">
        <w:rPr>
          <w:rFonts w:ascii="Times New Roman" w:hAnsi="Times New Roman" w:cs="Times New Roman"/>
          <w:sz w:val="24"/>
          <w:szCs w:val="24"/>
        </w:rPr>
        <w:tab/>
        <w:t>Madara Ābele</w:t>
      </w:r>
    </w:p>
    <w:p w14:paraId="3B2C21CA" w14:textId="77777777" w:rsidR="00F41967" w:rsidRPr="00D312C8" w:rsidRDefault="00F41967" w:rsidP="00D312C8">
      <w:pPr>
        <w:spacing w:after="0" w:line="276" w:lineRule="auto"/>
        <w:jc w:val="both"/>
        <w:rPr>
          <w:rFonts w:ascii="Times New Roman" w:hAnsi="Times New Roman" w:cs="Times New Roman"/>
          <w:sz w:val="24"/>
          <w:szCs w:val="24"/>
        </w:rPr>
      </w:pPr>
    </w:p>
    <w:p w14:paraId="727C7D52" w14:textId="27190658" w:rsidR="00F41967" w:rsidRPr="00D312C8" w:rsidRDefault="00F41967" w:rsidP="00D312C8">
      <w:pPr>
        <w:spacing w:after="0" w:line="276" w:lineRule="auto"/>
        <w:ind w:left="5760" w:firstLine="720"/>
        <w:jc w:val="both"/>
        <w:rPr>
          <w:rFonts w:ascii="Times New Roman" w:hAnsi="Times New Roman" w:cs="Times New Roman"/>
          <w:sz w:val="24"/>
          <w:szCs w:val="24"/>
        </w:rPr>
      </w:pPr>
      <w:r w:rsidRPr="00D312C8">
        <w:rPr>
          <w:rFonts w:ascii="Times New Roman" w:hAnsi="Times New Roman" w:cs="Times New Roman"/>
          <w:sz w:val="24"/>
          <w:szCs w:val="24"/>
        </w:rPr>
        <w:t>Iveta Andžāne</w:t>
      </w:r>
    </w:p>
    <w:p w14:paraId="06152E25" w14:textId="77777777" w:rsidR="00F41967" w:rsidRPr="00D312C8" w:rsidRDefault="00F41967" w:rsidP="00D312C8">
      <w:pPr>
        <w:spacing w:after="0" w:line="276" w:lineRule="auto"/>
        <w:ind w:left="5760" w:firstLine="720"/>
        <w:jc w:val="both"/>
        <w:rPr>
          <w:rFonts w:ascii="Times New Roman" w:hAnsi="Times New Roman" w:cs="Times New Roman"/>
          <w:sz w:val="24"/>
          <w:szCs w:val="24"/>
        </w:rPr>
      </w:pPr>
    </w:p>
    <w:p w14:paraId="4524F235" w14:textId="7598028D" w:rsidR="00F41967" w:rsidRPr="00D312C8" w:rsidRDefault="00E83AFB" w:rsidP="00D312C8">
      <w:pPr>
        <w:spacing w:after="0" w:line="276" w:lineRule="auto"/>
        <w:ind w:left="5760" w:firstLine="720"/>
        <w:jc w:val="both"/>
        <w:rPr>
          <w:rFonts w:ascii="Times New Roman" w:hAnsi="Times New Roman" w:cs="Times New Roman"/>
          <w:sz w:val="24"/>
          <w:szCs w:val="24"/>
        </w:rPr>
      </w:pPr>
      <w:r w:rsidRPr="00D312C8">
        <w:rPr>
          <w:rFonts w:ascii="Times New Roman" w:hAnsi="Times New Roman" w:cs="Times New Roman"/>
          <w:sz w:val="24"/>
          <w:szCs w:val="24"/>
        </w:rPr>
        <w:t>Ināra Jaunzeme</w:t>
      </w:r>
    </w:p>
    <w:p w14:paraId="63A6D581" w14:textId="77777777" w:rsidR="00F41967" w:rsidRPr="00D312C8" w:rsidRDefault="00F41967" w:rsidP="00D312C8">
      <w:pPr>
        <w:spacing w:after="0" w:line="276" w:lineRule="auto"/>
        <w:ind w:left="5760" w:firstLine="720"/>
        <w:jc w:val="both"/>
        <w:rPr>
          <w:rFonts w:ascii="Times New Roman" w:hAnsi="Times New Roman" w:cs="Times New Roman"/>
          <w:sz w:val="24"/>
          <w:szCs w:val="24"/>
        </w:rPr>
      </w:pPr>
    </w:p>
    <w:p w14:paraId="20721E92" w14:textId="1259A07D" w:rsidR="00F41967" w:rsidRPr="00D312C8" w:rsidRDefault="00E83AFB" w:rsidP="00D312C8">
      <w:pPr>
        <w:spacing w:after="0" w:line="276" w:lineRule="auto"/>
        <w:ind w:left="5760" w:firstLine="720"/>
        <w:jc w:val="both"/>
        <w:rPr>
          <w:rFonts w:ascii="Times New Roman" w:hAnsi="Times New Roman" w:cs="Times New Roman"/>
          <w:sz w:val="24"/>
          <w:szCs w:val="24"/>
        </w:rPr>
      </w:pPr>
      <w:r w:rsidRPr="00D312C8">
        <w:rPr>
          <w:rFonts w:ascii="Times New Roman" w:hAnsi="Times New Roman" w:cs="Times New Roman"/>
          <w:sz w:val="24"/>
          <w:szCs w:val="24"/>
        </w:rPr>
        <w:t>Adrija Kasakovska</w:t>
      </w:r>
    </w:p>
    <w:p w14:paraId="136EA119" w14:textId="77777777" w:rsidR="00F41967" w:rsidRPr="00D312C8" w:rsidRDefault="00F41967" w:rsidP="00D312C8">
      <w:pPr>
        <w:spacing w:after="0" w:line="276" w:lineRule="auto"/>
        <w:ind w:left="5760" w:firstLine="720"/>
        <w:jc w:val="both"/>
        <w:rPr>
          <w:rFonts w:ascii="Times New Roman" w:hAnsi="Times New Roman" w:cs="Times New Roman"/>
          <w:sz w:val="24"/>
          <w:szCs w:val="24"/>
        </w:rPr>
      </w:pPr>
    </w:p>
    <w:p w14:paraId="489C9EB1" w14:textId="1626ECB7" w:rsidR="00F41967" w:rsidRPr="00D312C8" w:rsidRDefault="00E83AFB" w:rsidP="00D312C8">
      <w:pPr>
        <w:spacing w:after="0" w:line="276" w:lineRule="auto"/>
        <w:ind w:left="5760" w:firstLine="720"/>
        <w:jc w:val="both"/>
        <w:rPr>
          <w:rFonts w:ascii="Times New Roman" w:hAnsi="Times New Roman" w:cs="Times New Roman"/>
          <w:sz w:val="24"/>
          <w:szCs w:val="24"/>
        </w:rPr>
      </w:pPr>
      <w:r w:rsidRPr="00D312C8">
        <w:rPr>
          <w:rFonts w:ascii="Times New Roman" w:hAnsi="Times New Roman" w:cs="Times New Roman"/>
          <w:sz w:val="24"/>
          <w:szCs w:val="24"/>
        </w:rPr>
        <w:t>Baiba Lielpētere</w:t>
      </w:r>
    </w:p>
    <w:p w14:paraId="6E53D788" w14:textId="77777777" w:rsidR="00F41967" w:rsidRPr="00D312C8" w:rsidRDefault="00F41967" w:rsidP="00D312C8">
      <w:pPr>
        <w:spacing w:after="0" w:line="276" w:lineRule="auto"/>
        <w:ind w:left="5760" w:firstLine="720"/>
        <w:jc w:val="both"/>
        <w:rPr>
          <w:rFonts w:ascii="Times New Roman" w:hAnsi="Times New Roman" w:cs="Times New Roman"/>
          <w:sz w:val="24"/>
          <w:szCs w:val="24"/>
        </w:rPr>
      </w:pPr>
    </w:p>
    <w:p w14:paraId="69C9EAF5" w14:textId="21807F4F" w:rsidR="00F41967" w:rsidRPr="00D312C8" w:rsidRDefault="00E83AFB" w:rsidP="00D312C8">
      <w:pPr>
        <w:spacing w:after="0" w:line="276" w:lineRule="auto"/>
        <w:ind w:left="5760" w:firstLine="720"/>
        <w:jc w:val="both"/>
        <w:rPr>
          <w:rFonts w:ascii="Times New Roman" w:hAnsi="Times New Roman" w:cs="Times New Roman"/>
          <w:sz w:val="24"/>
          <w:szCs w:val="24"/>
        </w:rPr>
      </w:pPr>
      <w:r w:rsidRPr="00D312C8">
        <w:rPr>
          <w:rFonts w:ascii="Times New Roman" w:hAnsi="Times New Roman" w:cs="Times New Roman"/>
          <w:sz w:val="24"/>
          <w:szCs w:val="24"/>
        </w:rPr>
        <w:t>Normunds Salenieks</w:t>
      </w:r>
    </w:p>
    <w:p w14:paraId="59A0B9C3" w14:textId="77777777" w:rsidR="00F41967" w:rsidRPr="00D312C8" w:rsidRDefault="00F41967" w:rsidP="00D312C8">
      <w:pPr>
        <w:spacing w:after="0" w:line="276" w:lineRule="auto"/>
        <w:ind w:left="5760" w:firstLine="720"/>
        <w:jc w:val="both"/>
        <w:rPr>
          <w:rFonts w:ascii="Times New Roman" w:hAnsi="Times New Roman" w:cs="Times New Roman"/>
          <w:sz w:val="24"/>
          <w:szCs w:val="24"/>
        </w:rPr>
      </w:pPr>
    </w:p>
    <w:p w14:paraId="30AC827D" w14:textId="0603534C" w:rsidR="00F41967" w:rsidRPr="00D312C8" w:rsidRDefault="00E83AFB" w:rsidP="00D312C8">
      <w:pPr>
        <w:spacing w:after="0" w:line="276" w:lineRule="auto"/>
        <w:ind w:left="5760" w:firstLine="720"/>
        <w:jc w:val="both"/>
        <w:rPr>
          <w:rFonts w:ascii="Times New Roman" w:hAnsi="Times New Roman" w:cs="Times New Roman"/>
          <w:sz w:val="24"/>
          <w:szCs w:val="24"/>
        </w:rPr>
      </w:pPr>
      <w:r w:rsidRPr="00D312C8">
        <w:rPr>
          <w:rFonts w:ascii="Times New Roman" w:hAnsi="Times New Roman" w:cs="Times New Roman"/>
          <w:sz w:val="24"/>
          <w:szCs w:val="24"/>
        </w:rPr>
        <w:t>Dace Skrauple</w:t>
      </w:r>
    </w:p>
    <w:p w14:paraId="489F3BD6" w14:textId="77777777" w:rsidR="00F41967" w:rsidRPr="00D312C8" w:rsidRDefault="00F41967" w:rsidP="00D312C8">
      <w:pPr>
        <w:spacing w:after="0" w:line="276" w:lineRule="auto"/>
        <w:ind w:left="5760" w:firstLine="720"/>
        <w:jc w:val="both"/>
        <w:rPr>
          <w:rFonts w:ascii="Times New Roman" w:hAnsi="Times New Roman" w:cs="Times New Roman"/>
          <w:sz w:val="24"/>
          <w:szCs w:val="24"/>
        </w:rPr>
      </w:pPr>
    </w:p>
    <w:p w14:paraId="76F9F532" w14:textId="6516CF9F" w:rsidR="00E83AFB" w:rsidRPr="00D312C8" w:rsidRDefault="00E83AFB" w:rsidP="00D312C8">
      <w:pPr>
        <w:spacing w:after="0" w:line="276" w:lineRule="auto"/>
        <w:ind w:left="5760" w:firstLine="720"/>
        <w:jc w:val="both"/>
        <w:rPr>
          <w:rFonts w:ascii="Times New Roman" w:hAnsi="Times New Roman" w:cs="Times New Roman"/>
          <w:sz w:val="24"/>
          <w:szCs w:val="24"/>
        </w:rPr>
      </w:pPr>
      <w:r w:rsidRPr="00D312C8">
        <w:rPr>
          <w:rFonts w:ascii="Times New Roman" w:hAnsi="Times New Roman" w:cs="Times New Roman"/>
          <w:sz w:val="24"/>
          <w:szCs w:val="24"/>
        </w:rPr>
        <w:t>Agnese Skulme</w:t>
      </w:r>
    </w:p>
    <w:sectPr w:rsidR="00E83AFB" w:rsidRPr="00D312C8" w:rsidSect="005F4A93">
      <w:footerReference w:type="default" r:id="rId8"/>
      <w:pgSz w:w="11906" w:h="16838"/>
      <w:pgMar w:top="1134" w:right="1134" w:bottom="1134" w:left="1701" w:header="567"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A812B" w14:textId="77777777" w:rsidR="00436B1F" w:rsidRDefault="00436B1F" w:rsidP="005F4A93">
      <w:pPr>
        <w:spacing w:after="0" w:line="240" w:lineRule="auto"/>
      </w:pPr>
      <w:r>
        <w:separator/>
      </w:r>
    </w:p>
  </w:endnote>
  <w:endnote w:type="continuationSeparator" w:id="0">
    <w:p w14:paraId="13D3999D" w14:textId="77777777" w:rsidR="00436B1F" w:rsidRDefault="00436B1F" w:rsidP="005F4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7522793"/>
      <w:docPartObj>
        <w:docPartGallery w:val="Page Numbers (Bottom of Page)"/>
        <w:docPartUnique/>
      </w:docPartObj>
    </w:sdtPr>
    <w:sdtEndPr>
      <w:rPr>
        <w:rFonts w:ascii="Times New Roman" w:hAnsi="Times New Roman" w:cs="Times New Roman"/>
      </w:rPr>
    </w:sdtEndPr>
    <w:sdtContent>
      <w:p w14:paraId="1E80C6EC" w14:textId="5D9129D5" w:rsidR="005F4A93" w:rsidRPr="005F4A93" w:rsidRDefault="005F4A93">
        <w:pPr>
          <w:pStyle w:val="Kjene"/>
          <w:jc w:val="center"/>
          <w:rPr>
            <w:rFonts w:ascii="Times New Roman" w:hAnsi="Times New Roman" w:cs="Times New Roman"/>
          </w:rPr>
        </w:pPr>
        <w:r w:rsidRPr="005F4A93">
          <w:rPr>
            <w:rFonts w:ascii="Times New Roman" w:hAnsi="Times New Roman" w:cs="Times New Roman"/>
          </w:rPr>
          <w:fldChar w:fldCharType="begin"/>
        </w:r>
        <w:r w:rsidRPr="005F4A93">
          <w:rPr>
            <w:rFonts w:ascii="Times New Roman" w:hAnsi="Times New Roman" w:cs="Times New Roman"/>
          </w:rPr>
          <w:instrText>PAGE   \* MERGEFORMAT</w:instrText>
        </w:r>
        <w:r w:rsidRPr="005F4A93">
          <w:rPr>
            <w:rFonts w:ascii="Times New Roman" w:hAnsi="Times New Roman" w:cs="Times New Roman"/>
          </w:rPr>
          <w:fldChar w:fldCharType="separate"/>
        </w:r>
        <w:r w:rsidR="003F3EF9">
          <w:rPr>
            <w:rFonts w:ascii="Times New Roman" w:hAnsi="Times New Roman" w:cs="Times New Roman"/>
            <w:noProof/>
          </w:rPr>
          <w:t>4</w:t>
        </w:r>
        <w:r w:rsidRPr="005F4A93">
          <w:rPr>
            <w:rFonts w:ascii="Times New Roman" w:hAnsi="Times New Roman" w:cs="Times New Roman"/>
          </w:rPr>
          <w:fldChar w:fldCharType="end"/>
        </w:r>
      </w:p>
    </w:sdtContent>
  </w:sdt>
  <w:p w14:paraId="102752B1" w14:textId="77777777" w:rsidR="005F4A93" w:rsidRDefault="005F4A9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A78DF" w14:textId="77777777" w:rsidR="00436B1F" w:rsidRDefault="00436B1F" w:rsidP="005F4A93">
      <w:pPr>
        <w:spacing w:after="0" w:line="240" w:lineRule="auto"/>
      </w:pPr>
      <w:r>
        <w:separator/>
      </w:r>
    </w:p>
  </w:footnote>
  <w:footnote w:type="continuationSeparator" w:id="0">
    <w:p w14:paraId="07D55113" w14:textId="77777777" w:rsidR="00436B1F" w:rsidRDefault="00436B1F" w:rsidP="005F4A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5F1D2E"/>
    <w:multiLevelType w:val="hybridMultilevel"/>
    <w:tmpl w:val="F39AEF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82C"/>
    <w:rsid w:val="000033AD"/>
    <w:rsid w:val="00025FD0"/>
    <w:rsid w:val="00026003"/>
    <w:rsid w:val="00037314"/>
    <w:rsid w:val="00042A54"/>
    <w:rsid w:val="00074847"/>
    <w:rsid w:val="00086F6D"/>
    <w:rsid w:val="00093938"/>
    <w:rsid w:val="00093EE1"/>
    <w:rsid w:val="000A3090"/>
    <w:rsid w:val="000A59FC"/>
    <w:rsid w:val="000E5741"/>
    <w:rsid w:val="00145CA5"/>
    <w:rsid w:val="0015773A"/>
    <w:rsid w:val="00157993"/>
    <w:rsid w:val="0016587D"/>
    <w:rsid w:val="00172FCC"/>
    <w:rsid w:val="0017463B"/>
    <w:rsid w:val="001818D5"/>
    <w:rsid w:val="00181AA2"/>
    <w:rsid w:val="00182CDF"/>
    <w:rsid w:val="001945FD"/>
    <w:rsid w:val="001C4306"/>
    <w:rsid w:val="001D6107"/>
    <w:rsid w:val="001E3E36"/>
    <w:rsid w:val="00205A4C"/>
    <w:rsid w:val="002141C1"/>
    <w:rsid w:val="00214B51"/>
    <w:rsid w:val="00225EE4"/>
    <w:rsid w:val="00266076"/>
    <w:rsid w:val="00266A0F"/>
    <w:rsid w:val="00271AA8"/>
    <w:rsid w:val="0028066B"/>
    <w:rsid w:val="002A0698"/>
    <w:rsid w:val="002F0A4D"/>
    <w:rsid w:val="00311073"/>
    <w:rsid w:val="00355B42"/>
    <w:rsid w:val="0037346D"/>
    <w:rsid w:val="00374779"/>
    <w:rsid w:val="00380F46"/>
    <w:rsid w:val="003A1913"/>
    <w:rsid w:val="003B68A2"/>
    <w:rsid w:val="003C232C"/>
    <w:rsid w:val="003E51DA"/>
    <w:rsid w:val="003F3449"/>
    <w:rsid w:val="003F3EF9"/>
    <w:rsid w:val="00423BC8"/>
    <w:rsid w:val="00436B1F"/>
    <w:rsid w:val="00452B14"/>
    <w:rsid w:val="00453501"/>
    <w:rsid w:val="004735AB"/>
    <w:rsid w:val="0048303B"/>
    <w:rsid w:val="004871B6"/>
    <w:rsid w:val="00492072"/>
    <w:rsid w:val="004B02E4"/>
    <w:rsid w:val="004B72B3"/>
    <w:rsid w:val="004C633A"/>
    <w:rsid w:val="004D1D6D"/>
    <w:rsid w:val="004E2C3E"/>
    <w:rsid w:val="004E4E77"/>
    <w:rsid w:val="005052F7"/>
    <w:rsid w:val="0055534F"/>
    <w:rsid w:val="00571BE0"/>
    <w:rsid w:val="00576D45"/>
    <w:rsid w:val="00585E43"/>
    <w:rsid w:val="00586140"/>
    <w:rsid w:val="00597ABE"/>
    <w:rsid w:val="005B6AE7"/>
    <w:rsid w:val="005C4617"/>
    <w:rsid w:val="005E419F"/>
    <w:rsid w:val="005F4A93"/>
    <w:rsid w:val="006053B1"/>
    <w:rsid w:val="00633990"/>
    <w:rsid w:val="0065234D"/>
    <w:rsid w:val="00661D6F"/>
    <w:rsid w:val="00683764"/>
    <w:rsid w:val="006B3F98"/>
    <w:rsid w:val="006D5A96"/>
    <w:rsid w:val="006E13FF"/>
    <w:rsid w:val="007035AA"/>
    <w:rsid w:val="00717D48"/>
    <w:rsid w:val="00732BE4"/>
    <w:rsid w:val="00734F41"/>
    <w:rsid w:val="00783CC4"/>
    <w:rsid w:val="00790DD3"/>
    <w:rsid w:val="007A2530"/>
    <w:rsid w:val="007A382C"/>
    <w:rsid w:val="007C374A"/>
    <w:rsid w:val="007D4BA1"/>
    <w:rsid w:val="007E4EC3"/>
    <w:rsid w:val="007F3577"/>
    <w:rsid w:val="008009D3"/>
    <w:rsid w:val="008150C7"/>
    <w:rsid w:val="00821527"/>
    <w:rsid w:val="008358B2"/>
    <w:rsid w:val="008377DB"/>
    <w:rsid w:val="0085121A"/>
    <w:rsid w:val="00872794"/>
    <w:rsid w:val="008943F3"/>
    <w:rsid w:val="008A2A34"/>
    <w:rsid w:val="008B16C5"/>
    <w:rsid w:val="008B39A1"/>
    <w:rsid w:val="00901193"/>
    <w:rsid w:val="00911F39"/>
    <w:rsid w:val="00924925"/>
    <w:rsid w:val="009345A4"/>
    <w:rsid w:val="00936452"/>
    <w:rsid w:val="00967021"/>
    <w:rsid w:val="00997F23"/>
    <w:rsid w:val="009A4EB0"/>
    <w:rsid w:val="009C2FBD"/>
    <w:rsid w:val="009D0AF1"/>
    <w:rsid w:val="00A151ED"/>
    <w:rsid w:val="00A22F49"/>
    <w:rsid w:val="00A23DB6"/>
    <w:rsid w:val="00A412BE"/>
    <w:rsid w:val="00A50472"/>
    <w:rsid w:val="00AA6381"/>
    <w:rsid w:val="00AB2097"/>
    <w:rsid w:val="00AF4E12"/>
    <w:rsid w:val="00B12534"/>
    <w:rsid w:val="00B23ED9"/>
    <w:rsid w:val="00BA31F1"/>
    <w:rsid w:val="00BC3305"/>
    <w:rsid w:val="00BD3184"/>
    <w:rsid w:val="00C0149E"/>
    <w:rsid w:val="00C212CE"/>
    <w:rsid w:val="00C24FF4"/>
    <w:rsid w:val="00C47B86"/>
    <w:rsid w:val="00C60001"/>
    <w:rsid w:val="00C60818"/>
    <w:rsid w:val="00CA56A8"/>
    <w:rsid w:val="00CB1DB7"/>
    <w:rsid w:val="00CB3900"/>
    <w:rsid w:val="00CD2301"/>
    <w:rsid w:val="00CE05D9"/>
    <w:rsid w:val="00CE7C4C"/>
    <w:rsid w:val="00CF07B9"/>
    <w:rsid w:val="00D02AC1"/>
    <w:rsid w:val="00D06E68"/>
    <w:rsid w:val="00D25EED"/>
    <w:rsid w:val="00D312C8"/>
    <w:rsid w:val="00D63C32"/>
    <w:rsid w:val="00D7708F"/>
    <w:rsid w:val="00D92E6A"/>
    <w:rsid w:val="00E143B6"/>
    <w:rsid w:val="00E2082D"/>
    <w:rsid w:val="00E31A07"/>
    <w:rsid w:val="00E83086"/>
    <w:rsid w:val="00E83AFB"/>
    <w:rsid w:val="00EA4EEB"/>
    <w:rsid w:val="00EE1FCD"/>
    <w:rsid w:val="00EF3113"/>
    <w:rsid w:val="00EF5880"/>
    <w:rsid w:val="00F218A8"/>
    <w:rsid w:val="00F24480"/>
    <w:rsid w:val="00F41967"/>
    <w:rsid w:val="00F43218"/>
    <w:rsid w:val="00FB068E"/>
    <w:rsid w:val="00FB30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79EA9"/>
  <w15:chartTrackingRefBased/>
  <w15:docId w15:val="{BEC4B428-D501-42C9-A646-5FC58654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semiHidden/>
    <w:unhideWhenUsed/>
    <w:rsid w:val="003A1913"/>
    <w:pPr>
      <w:spacing w:after="120"/>
    </w:pPr>
  </w:style>
  <w:style w:type="character" w:customStyle="1" w:styleId="PamattekstsRakstz">
    <w:name w:val="Pamatteksts Rakstz."/>
    <w:basedOn w:val="Noklusjumarindkopasfonts"/>
    <w:link w:val="Pamatteksts"/>
    <w:uiPriority w:val="99"/>
    <w:semiHidden/>
    <w:rsid w:val="003A1913"/>
  </w:style>
  <w:style w:type="paragraph" w:styleId="Pamattekstapirmatkpe">
    <w:name w:val="Body Text First Indent"/>
    <w:basedOn w:val="Pamatteksts"/>
    <w:link w:val="PamattekstapirmatkpeRakstz"/>
    <w:unhideWhenUsed/>
    <w:rsid w:val="003A1913"/>
    <w:pPr>
      <w:spacing w:line="276" w:lineRule="auto"/>
      <w:ind w:firstLine="210"/>
    </w:pPr>
    <w:rPr>
      <w:rFonts w:ascii="Calibri" w:eastAsia="Calibri" w:hAnsi="Calibri" w:cs="Times New Roman"/>
      <w:lang w:val="x-none"/>
    </w:rPr>
  </w:style>
  <w:style w:type="character" w:customStyle="1" w:styleId="PamattekstapirmatkpeRakstz">
    <w:name w:val="Pamatteksta pirmā atkāpe Rakstz."/>
    <w:basedOn w:val="PamattekstsRakstz"/>
    <w:link w:val="Pamattekstapirmatkpe"/>
    <w:rsid w:val="003A1913"/>
    <w:rPr>
      <w:rFonts w:ascii="Calibri" w:eastAsia="Calibri" w:hAnsi="Calibri" w:cs="Times New Roman"/>
      <w:lang w:val="x-none"/>
    </w:rPr>
  </w:style>
  <w:style w:type="paragraph" w:styleId="Sarakstaaizzme2">
    <w:name w:val="List Bullet 2"/>
    <w:basedOn w:val="Parasts"/>
    <w:autoRedefine/>
    <w:rsid w:val="003A1913"/>
    <w:pPr>
      <w:spacing w:after="0" w:line="360" w:lineRule="auto"/>
      <w:ind w:firstLine="709"/>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AB209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B2097"/>
    <w:rPr>
      <w:rFonts w:ascii="Segoe UI" w:hAnsi="Segoe UI" w:cs="Segoe UI"/>
      <w:sz w:val="18"/>
      <w:szCs w:val="18"/>
    </w:rPr>
  </w:style>
  <w:style w:type="character" w:styleId="Komentraatsauce">
    <w:name w:val="annotation reference"/>
    <w:basedOn w:val="Noklusjumarindkopasfonts"/>
    <w:uiPriority w:val="99"/>
    <w:semiHidden/>
    <w:unhideWhenUsed/>
    <w:rsid w:val="00025FD0"/>
    <w:rPr>
      <w:sz w:val="16"/>
      <w:szCs w:val="16"/>
    </w:rPr>
  </w:style>
  <w:style w:type="paragraph" w:styleId="Komentrateksts">
    <w:name w:val="annotation text"/>
    <w:basedOn w:val="Parasts"/>
    <w:link w:val="KomentratekstsRakstz"/>
    <w:uiPriority w:val="99"/>
    <w:semiHidden/>
    <w:unhideWhenUsed/>
    <w:rsid w:val="00025FD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25FD0"/>
    <w:rPr>
      <w:sz w:val="20"/>
      <w:szCs w:val="20"/>
    </w:rPr>
  </w:style>
  <w:style w:type="paragraph" w:styleId="Komentratma">
    <w:name w:val="annotation subject"/>
    <w:basedOn w:val="Komentrateksts"/>
    <w:next w:val="Komentrateksts"/>
    <w:link w:val="KomentratmaRakstz"/>
    <w:uiPriority w:val="99"/>
    <w:semiHidden/>
    <w:unhideWhenUsed/>
    <w:rsid w:val="00025FD0"/>
    <w:rPr>
      <w:b/>
      <w:bCs/>
    </w:rPr>
  </w:style>
  <w:style w:type="character" w:customStyle="1" w:styleId="KomentratmaRakstz">
    <w:name w:val="Komentāra tēma Rakstz."/>
    <w:basedOn w:val="KomentratekstsRakstz"/>
    <w:link w:val="Komentratma"/>
    <w:uiPriority w:val="99"/>
    <w:semiHidden/>
    <w:rsid w:val="00025FD0"/>
    <w:rPr>
      <w:b/>
      <w:bCs/>
      <w:sz w:val="20"/>
      <w:szCs w:val="20"/>
    </w:rPr>
  </w:style>
  <w:style w:type="paragraph" w:styleId="Galvene">
    <w:name w:val="header"/>
    <w:basedOn w:val="Parasts"/>
    <w:link w:val="GalveneRakstz"/>
    <w:uiPriority w:val="99"/>
    <w:unhideWhenUsed/>
    <w:rsid w:val="005F4A9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F4A93"/>
  </w:style>
  <w:style w:type="paragraph" w:styleId="Kjene">
    <w:name w:val="footer"/>
    <w:basedOn w:val="Parasts"/>
    <w:link w:val="KjeneRakstz"/>
    <w:uiPriority w:val="99"/>
    <w:unhideWhenUsed/>
    <w:rsid w:val="005F4A9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F4A93"/>
  </w:style>
  <w:style w:type="paragraph" w:styleId="Paraststmeklis">
    <w:name w:val="Normal (Web)"/>
    <w:basedOn w:val="Parasts"/>
    <w:uiPriority w:val="99"/>
    <w:semiHidden/>
    <w:unhideWhenUsed/>
    <w:rsid w:val="00F41967"/>
    <w:pPr>
      <w:spacing w:after="0" w:line="240" w:lineRule="auto"/>
    </w:pPr>
    <w:rPr>
      <w:rFonts w:ascii="Times New Roman" w:hAnsi="Times New Roman" w:cs="Times New Roman"/>
      <w:sz w:val="24"/>
      <w:szCs w:val="24"/>
      <w:lang w:eastAsia="lv-LV"/>
    </w:rPr>
  </w:style>
  <w:style w:type="paragraph" w:customStyle="1" w:styleId="ParastaisWeb">
    <w:name w:val="Parastais (Web)"/>
    <w:basedOn w:val="Parasts"/>
    <w:rsid w:val="0085121A"/>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252068">
      <w:bodyDiv w:val="1"/>
      <w:marLeft w:val="0"/>
      <w:marRight w:val="0"/>
      <w:marTop w:val="0"/>
      <w:marBottom w:val="0"/>
      <w:divBdr>
        <w:top w:val="none" w:sz="0" w:space="0" w:color="auto"/>
        <w:left w:val="none" w:sz="0" w:space="0" w:color="auto"/>
        <w:bottom w:val="none" w:sz="0" w:space="0" w:color="auto"/>
        <w:right w:val="none" w:sz="0" w:space="0" w:color="auto"/>
      </w:divBdr>
    </w:div>
    <w:div w:id="187368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F3C3C-6C85-417C-BD46-B594F87B7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7785</Words>
  <Characters>4438</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TĒK</dc:creator>
  <cp:keywords/>
  <dc:description/>
  <cp:lastModifiedBy>Jana Zemberga</cp:lastModifiedBy>
  <cp:revision>2</cp:revision>
  <cp:lastPrinted>2019-10-18T06:34:00Z</cp:lastPrinted>
  <dcterms:created xsi:type="dcterms:W3CDTF">2020-05-20T07:38:00Z</dcterms:created>
  <dcterms:modified xsi:type="dcterms:W3CDTF">2020-05-20T07:38:00Z</dcterms:modified>
</cp:coreProperties>
</file>