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5C93E" w14:textId="77777777" w:rsidR="009E3AE6" w:rsidRDefault="009E3AE6" w:rsidP="00D310CC">
      <w:pPr>
        <w:spacing w:after="0" w:line="360" w:lineRule="auto"/>
        <w:rPr>
          <w:rFonts w:cs="Times New Roman"/>
          <w:b/>
          <w:szCs w:val="24"/>
        </w:rPr>
      </w:pPr>
    </w:p>
    <w:p w14:paraId="47FC4803" w14:textId="7BB937FC" w:rsidR="00590DD3" w:rsidRPr="008064AF" w:rsidRDefault="00590DD3" w:rsidP="00590DD3">
      <w:pPr>
        <w:spacing w:after="0" w:line="360" w:lineRule="auto"/>
        <w:jc w:val="center"/>
        <w:rPr>
          <w:rFonts w:cs="Times New Roman"/>
          <w:b/>
          <w:szCs w:val="24"/>
        </w:rPr>
      </w:pPr>
      <w:r w:rsidRPr="008064AF">
        <w:rPr>
          <w:rFonts w:cs="Times New Roman"/>
          <w:b/>
          <w:szCs w:val="24"/>
        </w:rPr>
        <w:t>Tiesnešu ētikas komisija</w:t>
      </w:r>
    </w:p>
    <w:p w14:paraId="34638976" w14:textId="77777777" w:rsidR="00590DD3" w:rsidRPr="008064AF" w:rsidRDefault="00590DD3" w:rsidP="00590DD3">
      <w:pPr>
        <w:spacing w:after="0" w:line="360" w:lineRule="auto"/>
        <w:jc w:val="center"/>
        <w:rPr>
          <w:rFonts w:cs="Times New Roman"/>
          <w:b/>
          <w:spacing w:val="20"/>
          <w:sz w:val="32"/>
          <w:szCs w:val="32"/>
        </w:rPr>
      </w:pPr>
      <w:r w:rsidRPr="008064AF">
        <w:rPr>
          <w:rFonts w:cs="Times New Roman"/>
          <w:b/>
          <w:spacing w:val="20"/>
          <w:sz w:val="32"/>
          <w:szCs w:val="32"/>
        </w:rPr>
        <w:t>ATZINUMS</w:t>
      </w:r>
    </w:p>
    <w:p w14:paraId="699D3CB2" w14:textId="77777777" w:rsidR="00590DD3" w:rsidRPr="008064AF" w:rsidRDefault="00590DD3" w:rsidP="00590DD3">
      <w:pPr>
        <w:spacing w:after="0" w:line="360" w:lineRule="auto"/>
        <w:jc w:val="center"/>
        <w:rPr>
          <w:rFonts w:cs="Times New Roman"/>
          <w:b/>
          <w:spacing w:val="20"/>
          <w:szCs w:val="24"/>
        </w:rPr>
      </w:pPr>
    </w:p>
    <w:p w14:paraId="502E67C8" w14:textId="77777777" w:rsidR="00590DD3" w:rsidRPr="008064AF" w:rsidRDefault="00590DD3" w:rsidP="00590DD3">
      <w:pPr>
        <w:tabs>
          <w:tab w:val="right" w:pos="9071"/>
        </w:tabs>
        <w:spacing w:after="0" w:line="360" w:lineRule="auto"/>
        <w:rPr>
          <w:rFonts w:cs="Times New Roman"/>
          <w:szCs w:val="24"/>
        </w:rPr>
      </w:pPr>
      <w:r w:rsidRPr="008064AF">
        <w:rPr>
          <w:rFonts w:cs="Times New Roman"/>
          <w:szCs w:val="24"/>
        </w:rPr>
        <w:t>Rīgā</w:t>
      </w:r>
      <w:r w:rsidRPr="008064AF">
        <w:rPr>
          <w:rFonts w:cs="Times New Roman"/>
          <w:szCs w:val="24"/>
        </w:rPr>
        <w:tab/>
        <w:t xml:space="preserve">2021.gada 6.maijā </w:t>
      </w:r>
    </w:p>
    <w:p w14:paraId="1F504BCF" w14:textId="77777777" w:rsidR="00590DD3" w:rsidRPr="008064AF" w:rsidRDefault="00590DD3" w:rsidP="00590DD3">
      <w:pPr>
        <w:spacing w:after="0" w:line="360" w:lineRule="auto"/>
        <w:rPr>
          <w:rFonts w:cs="Times New Roman"/>
          <w:szCs w:val="24"/>
        </w:rPr>
      </w:pPr>
    </w:p>
    <w:p w14:paraId="66790A1B" w14:textId="2CDCF308" w:rsidR="00590DD3" w:rsidRPr="008064AF" w:rsidRDefault="00590DD3" w:rsidP="00590DD3">
      <w:pPr>
        <w:spacing w:after="0" w:line="360" w:lineRule="auto"/>
        <w:ind w:firstLine="851"/>
        <w:jc w:val="both"/>
        <w:rPr>
          <w:rFonts w:eastAsia="Arial Unicode MS" w:cs="Times New Roman"/>
          <w:kern w:val="1"/>
          <w:szCs w:val="24"/>
        </w:rPr>
      </w:pPr>
      <w:r w:rsidRPr="008064AF">
        <w:rPr>
          <w:rFonts w:cs="Times New Roman"/>
          <w:szCs w:val="24"/>
        </w:rPr>
        <w:t xml:space="preserve">[1] </w:t>
      </w:r>
      <w:r w:rsidRPr="008064AF">
        <w:rPr>
          <w:rFonts w:eastAsia="Arial Unicode MS" w:cs="Times New Roman"/>
          <w:kern w:val="1"/>
          <w:szCs w:val="24"/>
        </w:rPr>
        <w:t xml:space="preserve">Tiesnešu ētikas komisija saņēmusi Augstākās tiesas priekšsēdētāja vēstuli, kurā lūgts izvērtēt tiesneses </w:t>
      </w:r>
      <w:r w:rsidR="0098729B">
        <w:rPr>
          <w:rFonts w:cs="Times New Roman"/>
          <w:szCs w:val="24"/>
        </w:rPr>
        <w:t>/</w:t>
      </w:r>
      <w:proofErr w:type="spellStart"/>
      <w:r w:rsidR="0098729B">
        <w:rPr>
          <w:rFonts w:cs="Times New Roman"/>
          <w:szCs w:val="24"/>
        </w:rPr>
        <w:t>pers.A</w:t>
      </w:r>
      <w:proofErr w:type="spellEnd"/>
      <w:r w:rsidR="0098729B">
        <w:rPr>
          <w:rFonts w:cs="Times New Roman"/>
          <w:szCs w:val="24"/>
        </w:rPr>
        <w:t xml:space="preserve">/ </w:t>
      </w:r>
      <w:r w:rsidRPr="008064AF">
        <w:rPr>
          <w:rFonts w:eastAsia="Arial Unicode MS" w:cs="Times New Roman"/>
          <w:kern w:val="1"/>
          <w:szCs w:val="24"/>
        </w:rPr>
        <w:t xml:space="preserve">iespējamos reputācijas riskus, vai tie nav šķērslis tiesneša amata ieņemšanai saskaņā ar likuma “Par tiesu varu” 51.pantu. Vēstules pielikumā pievienoti tiesneses </w:t>
      </w:r>
      <w:r w:rsidR="0098729B">
        <w:rPr>
          <w:rFonts w:cs="Times New Roman"/>
          <w:szCs w:val="24"/>
        </w:rPr>
        <w:t>/</w:t>
      </w:r>
      <w:proofErr w:type="spellStart"/>
      <w:r w:rsidR="0098729B">
        <w:rPr>
          <w:rFonts w:cs="Times New Roman"/>
          <w:szCs w:val="24"/>
        </w:rPr>
        <w:t>pers.A</w:t>
      </w:r>
      <w:proofErr w:type="spellEnd"/>
      <w:r w:rsidR="0098729B">
        <w:rPr>
          <w:rFonts w:cs="Times New Roman"/>
          <w:szCs w:val="24"/>
        </w:rPr>
        <w:t xml:space="preserve">/ </w:t>
      </w:r>
      <w:r w:rsidRPr="008064AF">
        <w:rPr>
          <w:rFonts w:eastAsia="Arial Unicode MS" w:cs="Times New Roman"/>
          <w:kern w:val="1"/>
          <w:szCs w:val="24"/>
        </w:rPr>
        <w:t>paskaidrojumi, dokumenti par maksātnespējas procesu, Maksātnespējas kontroles dienesta un Noziedzīgi iegūtu līdzekļu legalizācijas novēršanas dienesta (pašlaik – Finanšu izlūkošanas dienests) dokumenti.</w:t>
      </w:r>
    </w:p>
    <w:p w14:paraId="4C8599B4" w14:textId="77777777" w:rsidR="00590DD3" w:rsidRPr="008064AF" w:rsidRDefault="00590DD3" w:rsidP="00590DD3">
      <w:pPr>
        <w:spacing w:after="0" w:line="360" w:lineRule="auto"/>
        <w:ind w:firstLine="851"/>
        <w:jc w:val="both"/>
        <w:rPr>
          <w:rFonts w:eastAsia="Arial Unicode MS" w:cs="Times New Roman"/>
          <w:kern w:val="1"/>
          <w:szCs w:val="24"/>
        </w:rPr>
      </w:pPr>
    </w:p>
    <w:p w14:paraId="3C667DCF" w14:textId="1E46F38C" w:rsidR="00590DD3" w:rsidRPr="008064AF" w:rsidRDefault="00590DD3" w:rsidP="00590DD3">
      <w:pPr>
        <w:spacing w:after="0" w:line="360" w:lineRule="auto"/>
        <w:ind w:firstLine="720"/>
        <w:jc w:val="both"/>
        <w:rPr>
          <w:rFonts w:eastAsia="Arial Unicode MS" w:cs="Times New Roman"/>
          <w:kern w:val="1"/>
          <w:szCs w:val="24"/>
        </w:rPr>
      </w:pPr>
      <w:r w:rsidRPr="008064AF">
        <w:rPr>
          <w:rFonts w:eastAsia="Arial Unicode MS" w:cs="Times New Roman"/>
          <w:kern w:val="1"/>
          <w:szCs w:val="24"/>
        </w:rPr>
        <w:t xml:space="preserve">[2] Vēstulē norādīts, ka ar Saeimas 2021.gada 8.marta lēmumu </w:t>
      </w:r>
      <w:r w:rsidR="009E3AE6">
        <w:rPr>
          <w:rFonts w:eastAsia="Arial Unicode MS" w:cs="Times New Roman"/>
          <w:kern w:val="1"/>
          <w:szCs w:val="24"/>
        </w:rPr>
        <w:t>/</w:t>
      </w:r>
      <w:proofErr w:type="spellStart"/>
      <w:r w:rsidR="009E3AE6">
        <w:rPr>
          <w:rFonts w:eastAsia="Arial Unicode MS" w:cs="Times New Roman"/>
          <w:kern w:val="1"/>
          <w:szCs w:val="24"/>
        </w:rPr>
        <w:t>pers.A</w:t>
      </w:r>
      <w:proofErr w:type="spellEnd"/>
      <w:r w:rsidR="009E3AE6">
        <w:rPr>
          <w:rFonts w:eastAsia="Arial Unicode MS" w:cs="Times New Roman"/>
          <w:kern w:val="1"/>
          <w:szCs w:val="24"/>
        </w:rPr>
        <w:t>/</w:t>
      </w:r>
      <w:r w:rsidRPr="008064AF">
        <w:rPr>
          <w:rFonts w:eastAsia="Arial Unicode MS" w:cs="Times New Roman"/>
          <w:kern w:val="1"/>
          <w:szCs w:val="24"/>
        </w:rPr>
        <w:t xml:space="preserve"> iecelta tiesneses amatā. Pirms pieteikšanās dalībai konkursā uz vakantajām tiesnešu amata vietām </w:t>
      </w:r>
      <w:r w:rsidR="009E3AE6">
        <w:rPr>
          <w:rFonts w:eastAsia="Arial Unicode MS" w:cs="Times New Roman"/>
          <w:kern w:val="1"/>
          <w:szCs w:val="24"/>
        </w:rPr>
        <w:t>/</w:t>
      </w:r>
      <w:proofErr w:type="spellStart"/>
      <w:r w:rsidR="009E3AE6">
        <w:rPr>
          <w:rFonts w:eastAsia="Arial Unicode MS" w:cs="Times New Roman"/>
          <w:kern w:val="1"/>
          <w:szCs w:val="24"/>
        </w:rPr>
        <w:t>pers.A</w:t>
      </w:r>
      <w:proofErr w:type="spellEnd"/>
      <w:r w:rsidR="009E3AE6">
        <w:rPr>
          <w:rFonts w:eastAsia="Arial Unicode MS" w:cs="Times New Roman"/>
          <w:kern w:val="1"/>
          <w:szCs w:val="24"/>
        </w:rPr>
        <w:t>/</w:t>
      </w:r>
      <w:r w:rsidRPr="008064AF">
        <w:rPr>
          <w:rFonts w:eastAsia="Arial Unicode MS" w:cs="Times New Roman"/>
          <w:kern w:val="1"/>
          <w:szCs w:val="24"/>
        </w:rPr>
        <w:t xml:space="preserve"> bija sertificēta maksātnespējas procesa administratore. </w:t>
      </w:r>
    </w:p>
    <w:p w14:paraId="42F54BDC" w14:textId="58F0EB8D" w:rsidR="00590DD3" w:rsidRPr="008064AF" w:rsidRDefault="00590DD3" w:rsidP="00590DD3">
      <w:pPr>
        <w:spacing w:after="0" w:line="360" w:lineRule="auto"/>
        <w:ind w:firstLine="720"/>
        <w:jc w:val="both"/>
        <w:rPr>
          <w:rFonts w:eastAsia="Arial Unicode MS" w:cs="Times New Roman"/>
          <w:kern w:val="1"/>
          <w:szCs w:val="24"/>
        </w:rPr>
      </w:pPr>
      <w:r w:rsidRPr="008064AF">
        <w:rPr>
          <w:rFonts w:eastAsia="Arial Unicode MS" w:cs="Times New Roman"/>
          <w:kern w:val="1"/>
          <w:szCs w:val="24"/>
        </w:rPr>
        <w:t xml:space="preserve">Pēc Saeimas lēmuma par </w:t>
      </w:r>
      <w:r w:rsidR="009E3AE6">
        <w:rPr>
          <w:rFonts w:eastAsia="Arial Unicode MS" w:cs="Times New Roman"/>
          <w:kern w:val="1"/>
          <w:szCs w:val="24"/>
        </w:rPr>
        <w:t>/</w:t>
      </w:r>
      <w:proofErr w:type="spellStart"/>
      <w:r w:rsidR="009E3AE6">
        <w:rPr>
          <w:rFonts w:eastAsia="Arial Unicode MS" w:cs="Times New Roman"/>
          <w:kern w:val="1"/>
          <w:szCs w:val="24"/>
        </w:rPr>
        <w:t>pers.A</w:t>
      </w:r>
      <w:proofErr w:type="spellEnd"/>
      <w:r w:rsidR="009E3AE6">
        <w:rPr>
          <w:rFonts w:eastAsia="Arial Unicode MS" w:cs="Times New Roman"/>
          <w:kern w:val="1"/>
          <w:szCs w:val="24"/>
        </w:rPr>
        <w:t xml:space="preserve">/ </w:t>
      </w:r>
      <w:r w:rsidRPr="008064AF">
        <w:rPr>
          <w:rFonts w:eastAsia="Arial Unicode MS" w:cs="Times New Roman"/>
          <w:kern w:val="1"/>
          <w:szCs w:val="24"/>
        </w:rPr>
        <w:t xml:space="preserve">iecelšanu tiesneses amatā TV3 raidījumā “Nekā personīga” 2021.gada 14. un 28.marta sižetos par iespējamu pievienotās vērtības nodokļa izkrāpšanu un noziedzīgi iegūtu līdzekļu legalizāciju izskanēja informācija par maksātnespējas administratores </w:t>
      </w:r>
      <w:r w:rsidR="009E3AE6">
        <w:rPr>
          <w:rFonts w:eastAsia="Arial Unicode MS" w:cs="Times New Roman"/>
          <w:kern w:val="1"/>
          <w:szCs w:val="24"/>
        </w:rPr>
        <w:t>/</w:t>
      </w:r>
      <w:proofErr w:type="spellStart"/>
      <w:r w:rsidR="009E3AE6">
        <w:rPr>
          <w:rFonts w:eastAsia="Arial Unicode MS" w:cs="Times New Roman"/>
          <w:kern w:val="1"/>
          <w:szCs w:val="24"/>
        </w:rPr>
        <w:t>pers.A</w:t>
      </w:r>
      <w:proofErr w:type="spellEnd"/>
      <w:r w:rsidR="009E3AE6">
        <w:rPr>
          <w:rFonts w:eastAsia="Arial Unicode MS" w:cs="Times New Roman"/>
          <w:kern w:val="1"/>
          <w:szCs w:val="24"/>
        </w:rPr>
        <w:t xml:space="preserve">/ </w:t>
      </w:r>
      <w:r w:rsidRPr="008064AF">
        <w:rPr>
          <w:rFonts w:eastAsia="Arial Unicode MS" w:cs="Times New Roman"/>
          <w:kern w:val="1"/>
          <w:szCs w:val="24"/>
        </w:rPr>
        <w:t>iespējamu iesaistīšanos prettiesiskās darbībās, līdzdarbojoties noziedzīgi iegūtu līdzekļu legalizēšanā SIA “</w:t>
      </w:r>
      <w:r w:rsidR="00675E5B">
        <w:rPr>
          <w:rFonts w:eastAsia="Arial Unicode MS" w:cs="Times New Roman"/>
          <w:kern w:val="1"/>
          <w:szCs w:val="24"/>
        </w:rPr>
        <w:t>/Nosaukums A/</w:t>
      </w:r>
      <w:r w:rsidRPr="008064AF">
        <w:rPr>
          <w:rFonts w:eastAsia="Arial Unicode MS" w:cs="Times New Roman"/>
          <w:kern w:val="1"/>
          <w:szCs w:val="24"/>
        </w:rPr>
        <w:t>” maksātnespējas procesā. Informāciju par šādu iesaisti sniedzis SIA “</w:t>
      </w:r>
      <w:r w:rsidR="00675E5B">
        <w:rPr>
          <w:rFonts w:eastAsia="Arial Unicode MS" w:cs="Times New Roman"/>
          <w:kern w:val="1"/>
          <w:szCs w:val="24"/>
        </w:rPr>
        <w:t>/Nosaukums A/</w:t>
      </w:r>
      <w:r w:rsidRPr="008064AF">
        <w:rPr>
          <w:rFonts w:eastAsia="Arial Unicode MS" w:cs="Times New Roman"/>
          <w:kern w:val="1"/>
          <w:szCs w:val="24"/>
        </w:rPr>
        <w:t xml:space="preserve">” valdes loceklis </w:t>
      </w:r>
      <w:r w:rsidR="00675E5B">
        <w:rPr>
          <w:rFonts w:eastAsia="Arial Unicode MS" w:cs="Times New Roman"/>
          <w:kern w:val="1"/>
          <w:szCs w:val="24"/>
        </w:rPr>
        <w:t>/</w:t>
      </w:r>
      <w:proofErr w:type="spellStart"/>
      <w:r w:rsidR="00675E5B">
        <w:rPr>
          <w:rFonts w:eastAsia="Arial Unicode MS" w:cs="Times New Roman"/>
          <w:kern w:val="1"/>
          <w:szCs w:val="24"/>
        </w:rPr>
        <w:t>pers.B</w:t>
      </w:r>
      <w:proofErr w:type="spellEnd"/>
      <w:r w:rsidR="00675E5B">
        <w:rPr>
          <w:rFonts w:eastAsia="Arial Unicode MS" w:cs="Times New Roman"/>
          <w:kern w:val="1"/>
          <w:szCs w:val="24"/>
        </w:rPr>
        <w:t>/</w:t>
      </w:r>
      <w:r w:rsidRPr="008064AF">
        <w:rPr>
          <w:rFonts w:eastAsia="Arial Unicode MS" w:cs="Times New Roman"/>
          <w:kern w:val="1"/>
          <w:szCs w:val="24"/>
        </w:rPr>
        <w:t xml:space="preserve">.  Tāpat </w:t>
      </w:r>
      <w:r w:rsidR="00675E5B">
        <w:rPr>
          <w:rFonts w:eastAsia="Arial Unicode MS" w:cs="Times New Roman"/>
          <w:kern w:val="1"/>
          <w:szCs w:val="24"/>
        </w:rPr>
        <w:t>/</w:t>
      </w:r>
      <w:proofErr w:type="spellStart"/>
      <w:r w:rsidR="00675E5B">
        <w:rPr>
          <w:rFonts w:eastAsia="Arial Unicode MS" w:cs="Times New Roman"/>
          <w:kern w:val="1"/>
          <w:szCs w:val="24"/>
        </w:rPr>
        <w:t>pers.A</w:t>
      </w:r>
      <w:proofErr w:type="spellEnd"/>
      <w:r w:rsidR="00675E5B">
        <w:rPr>
          <w:rFonts w:eastAsia="Arial Unicode MS" w:cs="Times New Roman"/>
          <w:kern w:val="1"/>
          <w:szCs w:val="24"/>
        </w:rPr>
        <w:t>/</w:t>
      </w:r>
      <w:r w:rsidRPr="008064AF">
        <w:rPr>
          <w:rFonts w:eastAsia="Arial Unicode MS" w:cs="Times New Roman"/>
          <w:kern w:val="1"/>
          <w:szCs w:val="24"/>
        </w:rPr>
        <w:t xml:space="preserve">, saņemot </w:t>
      </w:r>
      <w:r w:rsidR="00675E5B">
        <w:rPr>
          <w:rFonts w:eastAsia="Arial Unicode MS" w:cs="Times New Roman"/>
          <w:kern w:val="1"/>
          <w:szCs w:val="24"/>
        </w:rPr>
        <w:t>/</w:t>
      </w:r>
      <w:proofErr w:type="spellStart"/>
      <w:r w:rsidR="00675E5B">
        <w:rPr>
          <w:rFonts w:eastAsia="Arial Unicode MS" w:cs="Times New Roman"/>
          <w:kern w:val="1"/>
          <w:szCs w:val="24"/>
        </w:rPr>
        <w:t>pers.B</w:t>
      </w:r>
      <w:proofErr w:type="spellEnd"/>
      <w:r w:rsidR="00675E5B">
        <w:rPr>
          <w:rFonts w:eastAsia="Arial Unicode MS" w:cs="Times New Roman"/>
          <w:kern w:val="1"/>
          <w:szCs w:val="24"/>
        </w:rPr>
        <w:t xml:space="preserve">/ </w:t>
      </w:r>
      <w:r w:rsidRPr="008064AF">
        <w:rPr>
          <w:rFonts w:eastAsia="Arial Unicode MS" w:cs="Times New Roman"/>
          <w:kern w:val="1"/>
          <w:szCs w:val="24"/>
        </w:rPr>
        <w:t xml:space="preserve">vēstules, kurās viņš atzīst noziedzīgi iegūtu līdzekļu legalizāciju, par to nav ziņojusi Noziedzīgi iegūtu līdzekļu legalizācijas novēršanas dienestam (turpmāk – Finanšu izlūkošanas dienests). Tiesneša amata kandidātu atlases komisijas rīcībā šādas informācijas nebija, ne vērtējot tiesneša amata kandidātes </w:t>
      </w:r>
      <w:r w:rsidR="00675E5B">
        <w:rPr>
          <w:rFonts w:eastAsia="Arial Unicode MS" w:cs="Times New Roman"/>
          <w:kern w:val="1"/>
          <w:szCs w:val="24"/>
        </w:rPr>
        <w:t>/</w:t>
      </w:r>
      <w:proofErr w:type="spellStart"/>
      <w:r w:rsidR="00675E5B">
        <w:rPr>
          <w:rFonts w:eastAsia="Arial Unicode MS" w:cs="Times New Roman"/>
          <w:kern w:val="1"/>
          <w:szCs w:val="24"/>
        </w:rPr>
        <w:t>pers.A</w:t>
      </w:r>
      <w:proofErr w:type="spellEnd"/>
      <w:r w:rsidR="00675E5B">
        <w:rPr>
          <w:rFonts w:eastAsia="Arial Unicode MS" w:cs="Times New Roman"/>
          <w:kern w:val="1"/>
          <w:szCs w:val="24"/>
        </w:rPr>
        <w:t xml:space="preserve">/  </w:t>
      </w:r>
      <w:r w:rsidRPr="008064AF">
        <w:rPr>
          <w:rFonts w:eastAsia="Arial Unicode MS" w:cs="Times New Roman"/>
          <w:kern w:val="1"/>
          <w:szCs w:val="24"/>
        </w:rPr>
        <w:t xml:space="preserve">reputācijas atbilstību likuma “Par tiesu varu” 51.panta prasībām, ne arī brīdī, kad komisija pieņēma lēmumu par </w:t>
      </w:r>
      <w:r w:rsidR="00675E5B">
        <w:rPr>
          <w:rFonts w:eastAsia="Arial Unicode MS" w:cs="Times New Roman"/>
          <w:kern w:val="1"/>
          <w:szCs w:val="24"/>
        </w:rPr>
        <w:t>/</w:t>
      </w:r>
      <w:proofErr w:type="spellStart"/>
      <w:r w:rsidR="00675E5B">
        <w:rPr>
          <w:rFonts w:eastAsia="Arial Unicode MS" w:cs="Times New Roman"/>
          <w:kern w:val="1"/>
          <w:szCs w:val="24"/>
        </w:rPr>
        <w:t>pers.A</w:t>
      </w:r>
      <w:proofErr w:type="spellEnd"/>
      <w:r w:rsidR="00675E5B">
        <w:rPr>
          <w:rFonts w:eastAsia="Arial Unicode MS" w:cs="Times New Roman"/>
          <w:kern w:val="1"/>
          <w:szCs w:val="24"/>
        </w:rPr>
        <w:t xml:space="preserve">/ </w:t>
      </w:r>
      <w:r w:rsidRPr="008064AF">
        <w:rPr>
          <w:rFonts w:eastAsia="Arial Unicode MS" w:cs="Times New Roman"/>
          <w:kern w:val="1"/>
          <w:szCs w:val="24"/>
        </w:rPr>
        <w:t>virzīšanu iecelšanai tiesneša amatā.</w:t>
      </w:r>
    </w:p>
    <w:p w14:paraId="576C12B5" w14:textId="77777777" w:rsidR="00590DD3" w:rsidRPr="008064AF" w:rsidRDefault="00590DD3" w:rsidP="00590DD3">
      <w:pPr>
        <w:spacing w:after="0" w:line="360" w:lineRule="auto"/>
        <w:ind w:firstLine="720"/>
        <w:jc w:val="both"/>
        <w:rPr>
          <w:rFonts w:eastAsia="Arial Unicode MS" w:cs="Times New Roman"/>
          <w:kern w:val="1"/>
          <w:szCs w:val="24"/>
        </w:rPr>
      </w:pPr>
    </w:p>
    <w:p w14:paraId="68169726" w14:textId="7B6F083A" w:rsidR="00590DD3" w:rsidRPr="008064AF" w:rsidRDefault="00590DD3" w:rsidP="00590DD3">
      <w:pPr>
        <w:spacing w:after="0" w:line="360" w:lineRule="auto"/>
        <w:ind w:firstLine="720"/>
        <w:jc w:val="both"/>
        <w:rPr>
          <w:rFonts w:eastAsia="Arial Unicode MS" w:cs="Times New Roman"/>
          <w:kern w:val="1"/>
          <w:szCs w:val="24"/>
        </w:rPr>
      </w:pPr>
      <w:r w:rsidRPr="008064AF">
        <w:rPr>
          <w:rFonts w:eastAsia="Arial Unicode MS" w:cs="Times New Roman"/>
          <w:kern w:val="1"/>
          <w:szCs w:val="24"/>
        </w:rPr>
        <w:t xml:space="preserve">[3] No vēstulei pievienotajiem dokumentiem redzams, ka pēc Augstākās tiesas lūguma par </w:t>
      </w:r>
      <w:bookmarkStart w:id="0" w:name="_Hlk70185316"/>
      <w:r w:rsidRPr="008064AF">
        <w:rPr>
          <w:rFonts w:eastAsia="Arial Unicode MS" w:cs="Times New Roman"/>
          <w:kern w:val="1"/>
          <w:szCs w:val="24"/>
        </w:rPr>
        <w:t xml:space="preserve">plašsaziņas līdzekļos izskanējušo informāciju </w:t>
      </w:r>
      <w:bookmarkEnd w:id="0"/>
      <w:r w:rsidRPr="008064AF">
        <w:rPr>
          <w:rFonts w:eastAsia="Arial Unicode MS" w:cs="Times New Roman"/>
          <w:kern w:val="1"/>
          <w:szCs w:val="24"/>
        </w:rPr>
        <w:t>par tiesneses iespējamo iesaistīšanos pievienotās vērtības nodokļa krāpšanas shēmās, pildot SIA “</w:t>
      </w:r>
      <w:r w:rsidR="00675E5B">
        <w:rPr>
          <w:rFonts w:eastAsia="Arial Unicode MS" w:cs="Times New Roman"/>
          <w:kern w:val="1"/>
          <w:szCs w:val="24"/>
        </w:rPr>
        <w:t>/Nosaukums A/</w:t>
      </w:r>
      <w:r w:rsidRPr="008064AF">
        <w:rPr>
          <w:rFonts w:eastAsia="Arial Unicode MS" w:cs="Times New Roman"/>
          <w:kern w:val="1"/>
          <w:szCs w:val="24"/>
        </w:rPr>
        <w:t xml:space="preserve">” (turpmāk arī – Parādnieks) maksātnespējas procesa administratores pienākumus, Maksātnespējas kontroles dienests (līdz 2018.gada 1.jūlijam – Maksātnespējas administrācija) ir sniedzis informāciju par </w:t>
      </w:r>
      <w:bookmarkStart w:id="1" w:name="_Hlk70005214"/>
      <w:r w:rsidRPr="008064AF">
        <w:rPr>
          <w:rFonts w:eastAsia="Arial Unicode MS" w:cs="Times New Roman"/>
          <w:kern w:val="1"/>
          <w:szCs w:val="24"/>
        </w:rPr>
        <w:t>SIA “</w:t>
      </w:r>
      <w:r w:rsidR="00675E5B">
        <w:rPr>
          <w:rFonts w:eastAsia="Arial Unicode MS" w:cs="Times New Roman"/>
          <w:kern w:val="1"/>
          <w:szCs w:val="24"/>
        </w:rPr>
        <w:t>/Nosaukums A/</w:t>
      </w:r>
      <w:r w:rsidRPr="008064AF">
        <w:rPr>
          <w:rFonts w:eastAsia="Arial Unicode MS" w:cs="Times New Roman"/>
          <w:kern w:val="1"/>
          <w:szCs w:val="24"/>
        </w:rPr>
        <w:t xml:space="preserve">” </w:t>
      </w:r>
      <w:bookmarkEnd w:id="1"/>
      <w:r w:rsidRPr="008064AF">
        <w:rPr>
          <w:rFonts w:eastAsia="Arial Unicode MS" w:cs="Times New Roman"/>
          <w:kern w:val="1"/>
          <w:szCs w:val="24"/>
        </w:rPr>
        <w:t xml:space="preserve">maksātnespējas procesa norisi un šā maksātnespējas procesa </w:t>
      </w:r>
      <w:r w:rsidRPr="008064AF">
        <w:rPr>
          <w:rFonts w:eastAsia="Arial Unicode MS" w:cs="Times New Roman"/>
          <w:kern w:val="1"/>
          <w:szCs w:val="24"/>
        </w:rPr>
        <w:lastRenderedPageBreak/>
        <w:t>administratora amata kandidāta izvēli un ieteikšanu. No sniegtās informācijas izriet, ka par SIA “</w:t>
      </w:r>
      <w:r w:rsidR="00675E5B">
        <w:rPr>
          <w:rFonts w:eastAsia="Arial Unicode MS" w:cs="Times New Roman"/>
          <w:kern w:val="1"/>
          <w:szCs w:val="24"/>
        </w:rPr>
        <w:t>/Nosaukums A/</w:t>
      </w:r>
      <w:r w:rsidRPr="008064AF">
        <w:rPr>
          <w:rFonts w:eastAsia="Arial Unicode MS" w:cs="Times New Roman"/>
          <w:kern w:val="1"/>
          <w:szCs w:val="24"/>
        </w:rPr>
        <w:t>” administratora amata kandidāta ieteikšanas procesu nav konstatētas atkāpes vai netipiskas darbības no normatīvajos aktos noteiktās procedūras. Ar tiesas 2017.gada 6.februāra nolēmumu par SIA “</w:t>
      </w:r>
      <w:r w:rsidR="00675E5B">
        <w:rPr>
          <w:rFonts w:eastAsia="Arial Unicode MS" w:cs="Times New Roman"/>
          <w:kern w:val="1"/>
          <w:szCs w:val="24"/>
        </w:rPr>
        <w:t>/Nosaukums A/</w:t>
      </w:r>
      <w:r w:rsidRPr="008064AF">
        <w:rPr>
          <w:rFonts w:eastAsia="Arial Unicode MS" w:cs="Times New Roman"/>
          <w:kern w:val="1"/>
          <w:szCs w:val="24"/>
        </w:rPr>
        <w:t xml:space="preserve">” maksātnespējas procesa administratori iecelta </w:t>
      </w:r>
      <w:r w:rsidR="00675E5B">
        <w:rPr>
          <w:rFonts w:eastAsia="Arial Unicode MS" w:cs="Times New Roman"/>
          <w:kern w:val="1"/>
          <w:szCs w:val="24"/>
        </w:rPr>
        <w:t>/</w:t>
      </w:r>
      <w:proofErr w:type="spellStart"/>
      <w:r w:rsidR="00675E5B">
        <w:rPr>
          <w:rFonts w:eastAsia="Arial Unicode MS" w:cs="Times New Roman"/>
          <w:kern w:val="1"/>
          <w:szCs w:val="24"/>
        </w:rPr>
        <w:t>pers.A</w:t>
      </w:r>
      <w:proofErr w:type="spellEnd"/>
      <w:r w:rsidR="00675E5B">
        <w:rPr>
          <w:rFonts w:eastAsia="Arial Unicode MS" w:cs="Times New Roman"/>
          <w:kern w:val="1"/>
          <w:szCs w:val="24"/>
        </w:rPr>
        <w:t>/</w:t>
      </w:r>
      <w:r w:rsidRPr="008064AF">
        <w:rPr>
          <w:rFonts w:eastAsia="Arial Unicode MS" w:cs="Times New Roman"/>
          <w:kern w:val="1"/>
          <w:szCs w:val="24"/>
        </w:rPr>
        <w:t xml:space="preserve">, nekonstatējot ierobežojumus administratora amata pienākumu pildīšanai. Maksātnespējas kontroles dienestā no kreditoriem 2017. un 2018.gadā saņemtas vairākas sūdzības par maksātnespējas procesa administratores </w:t>
      </w:r>
      <w:r w:rsidR="00675E5B">
        <w:rPr>
          <w:rFonts w:eastAsia="Arial Unicode MS" w:cs="Times New Roman"/>
          <w:kern w:val="1"/>
          <w:szCs w:val="24"/>
        </w:rPr>
        <w:t>/</w:t>
      </w:r>
      <w:proofErr w:type="spellStart"/>
      <w:r w:rsidR="00675E5B">
        <w:rPr>
          <w:rFonts w:eastAsia="Arial Unicode MS" w:cs="Times New Roman"/>
          <w:kern w:val="1"/>
          <w:szCs w:val="24"/>
        </w:rPr>
        <w:t>pers.A</w:t>
      </w:r>
      <w:proofErr w:type="spellEnd"/>
      <w:r w:rsidR="00675E5B">
        <w:rPr>
          <w:rFonts w:eastAsia="Arial Unicode MS" w:cs="Times New Roman"/>
          <w:kern w:val="1"/>
          <w:szCs w:val="24"/>
        </w:rPr>
        <w:t xml:space="preserve">/ </w:t>
      </w:r>
      <w:r w:rsidRPr="008064AF">
        <w:rPr>
          <w:rFonts w:eastAsia="Arial Unicode MS" w:cs="Times New Roman"/>
          <w:kern w:val="1"/>
          <w:szCs w:val="24"/>
        </w:rPr>
        <w:t xml:space="preserve">rīcību. Sūdzības </w:t>
      </w:r>
      <w:r w:rsidR="00106471" w:rsidRPr="008064AF">
        <w:rPr>
          <w:rFonts w:eastAsia="Arial Unicode MS" w:cs="Times New Roman"/>
          <w:kern w:val="1"/>
          <w:szCs w:val="24"/>
        </w:rPr>
        <w:t xml:space="preserve">noraidītas </w:t>
      </w:r>
      <w:r w:rsidRPr="008064AF">
        <w:rPr>
          <w:rFonts w:eastAsia="Arial Unicode MS" w:cs="Times New Roman"/>
          <w:kern w:val="1"/>
          <w:szCs w:val="24"/>
        </w:rPr>
        <w:t xml:space="preserve">kā nepamatotas, nekonstatējot administratores rīcībā pārkāpumus, jo viņas darbības veiktas, ievērojot Maksātnespējas likuma prasības. Savukārt par argumentu, ka </w:t>
      </w:r>
      <w:r w:rsidR="00675E5B">
        <w:rPr>
          <w:rFonts w:eastAsia="Arial Unicode MS" w:cs="Times New Roman"/>
          <w:kern w:val="1"/>
          <w:szCs w:val="24"/>
        </w:rPr>
        <w:t>/</w:t>
      </w:r>
      <w:proofErr w:type="spellStart"/>
      <w:r w:rsidR="00675E5B">
        <w:rPr>
          <w:rFonts w:eastAsia="Arial Unicode MS" w:cs="Times New Roman"/>
          <w:kern w:val="1"/>
          <w:szCs w:val="24"/>
        </w:rPr>
        <w:t>pers.A</w:t>
      </w:r>
      <w:proofErr w:type="spellEnd"/>
      <w:r w:rsidR="00675E5B">
        <w:rPr>
          <w:rFonts w:eastAsia="Arial Unicode MS" w:cs="Times New Roman"/>
          <w:kern w:val="1"/>
          <w:szCs w:val="24"/>
        </w:rPr>
        <w:t xml:space="preserve">/ </w:t>
      </w:r>
      <w:r w:rsidRPr="008064AF">
        <w:rPr>
          <w:rFonts w:eastAsia="Arial Unicode MS" w:cs="Times New Roman"/>
          <w:kern w:val="1"/>
          <w:szCs w:val="24"/>
        </w:rPr>
        <w:t xml:space="preserve">nav sniegusi ziņas </w:t>
      </w:r>
      <w:proofErr w:type="spellStart"/>
      <w:r w:rsidRPr="008064AF">
        <w:rPr>
          <w:rFonts w:eastAsia="Arial Unicode MS" w:cs="Times New Roman"/>
          <w:kern w:val="1"/>
          <w:szCs w:val="24"/>
        </w:rPr>
        <w:t>tiesībsargājošām</w:t>
      </w:r>
      <w:proofErr w:type="spellEnd"/>
      <w:r w:rsidRPr="008064AF">
        <w:rPr>
          <w:rFonts w:eastAsia="Arial Unicode MS" w:cs="Times New Roman"/>
          <w:kern w:val="1"/>
          <w:szCs w:val="24"/>
        </w:rPr>
        <w:t xml:space="preserve"> iestādēm par neparastiem un aizdomīgiem darījumiem, Maksātnespējas kontroles dienests norādījis, ka Noziedzīgi iegūtu līdzekļu legalizācijas un terorisma un proliferācijas finansēšanas novēršanas likumā  (turpmāk – Legalizācijas novēršanas likums) administratori kā likuma subjekti ir iekļauti tikai kopš 2020.gada 1.janvāra.</w:t>
      </w:r>
    </w:p>
    <w:p w14:paraId="45B16E23" w14:textId="46226638" w:rsidR="00590DD3" w:rsidRPr="008064AF" w:rsidRDefault="00590DD3" w:rsidP="00590DD3">
      <w:pPr>
        <w:spacing w:after="0" w:line="360" w:lineRule="auto"/>
        <w:ind w:firstLine="720"/>
        <w:jc w:val="both"/>
        <w:rPr>
          <w:rFonts w:eastAsia="Arial Unicode MS" w:cs="Times New Roman"/>
          <w:kern w:val="1"/>
          <w:szCs w:val="24"/>
        </w:rPr>
      </w:pPr>
      <w:r w:rsidRPr="008064AF">
        <w:rPr>
          <w:rFonts w:eastAsia="Arial Unicode MS" w:cs="Times New Roman"/>
          <w:kern w:val="1"/>
          <w:szCs w:val="24"/>
        </w:rPr>
        <w:t xml:space="preserve">Papildus Maksātnespējas kontroles dienests norādījis, ka ar tiesas 2021.gada 8.marta nolēmumu </w:t>
      </w:r>
      <w:r w:rsidR="00675E5B">
        <w:rPr>
          <w:rFonts w:eastAsia="Arial Unicode MS" w:cs="Times New Roman"/>
          <w:kern w:val="1"/>
          <w:szCs w:val="24"/>
        </w:rPr>
        <w:t>/</w:t>
      </w:r>
      <w:proofErr w:type="spellStart"/>
      <w:r w:rsidR="00675E5B">
        <w:rPr>
          <w:rFonts w:eastAsia="Arial Unicode MS" w:cs="Times New Roman"/>
          <w:kern w:val="1"/>
          <w:szCs w:val="24"/>
        </w:rPr>
        <w:t>pers.A</w:t>
      </w:r>
      <w:proofErr w:type="spellEnd"/>
      <w:r w:rsidR="00675E5B">
        <w:rPr>
          <w:rFonts w:eastAsia="Arial Unicode MS" w:cs="Times New Roman"/>
          <w:kern w:val="1"/>
          <w:szCs w:val="24"/>
        </w:rPr>
        <w:t xml:space="preserve">/ </w:t>
      </w:r>
      <w:r w:rsidRPr="008064AF">
        <w:rPr>
          <w:rFonts w:eastAsia="Arial Unicode MS" w:cs="Times New Roman"/>
          <w:kern w:val="1"/>
          <w:szCs w:val="24"/>
        </w:rPr>
        <w:t xml:space="preserve">ir atcelta no Parādnieka maksātnespējas procesa administratora pienākumu pildīšanas, dienesta rīcībā nav saņemtas ziņas no tiesībsargājošām iestādēm, ka pret </w:t>
      </w:r>
      <w:r w:rsidR="00675E5B">
        <w:rPr>
          <w:rFonts w:eastAsia="Arial Unicode MS" w:cs="Times New Roman"/>
          <w:kern w:val="1"/>
          <w:szCs w:val="24"/>
        </w:rPr>
        <w:t>/</w:t>
      </w:r>
      <w:proofErr w:type="spellStart"/>
      <w:r w:rsidR="00675E5B">
        <w:rPr>
          <w:rFonts w:eastAsia="Arial Unicode MS" w:cs="Times New Roman"/>
          <w:kern w:val="1"/>
          <w:szCs w:val="24"/>
        </w:rPr>
        <w:t>pers.A</w:t>
      </w:r>
      <w:proofErr w:type="spellEnd"/>
      <w:r w:rsidR="00675E5B">
        <w:rPr>
          <w:rFonts w:eastAsia="Arial Unicode MS" w:cs="Times New Roman"/>
          <w:kern w:val="1"/>
          <w:szCs w:val="24"/>
        </w:rPr>
        <w:t>/</w:t>
      </w:r>
      <w:r w:rsidRPr="008064AF">
        <w:rPr>
          <w:rFonts w:eastAsia="Arial Unicode MS" w:cs="Times New Roman"/>
          <w:kern w:val="1"/>
          <w:szCs w:val="24"/>
        </w:rPr>
        <w:t xml:space="preserve"> būtu uzsākti kriminālprocesi vai kādā no kriminālprocesiem viņai būtu piemērots procesā iesaistīt</w:t>
      </w:r>
      <w:r w:rsidR="00106471">
        <w:rPr>
          <w:rFonts w:eastAsia="Arial Unicode MS" w:cs="Times New Roman"/>
          <w:kern w:val="1"/>
          <w:szCs w:val="24"/>
        </w:rPr>
        <w:t>a</w:t>
      </w:r>
      <w:r w:rsidRPr="008064AF">
        <w:rPr>
          <w:rFonts w:eastAsia="Arial Unicode MS" w:cs="Times New Roman"/>
          <w:kern w:val="1"/>
          <w:szCs w:val="24"/>
        </w:rPr>
        <w:t>s personas statuss, taču ir saņemta informācija, ka ar Valsts Policijas 2019.gada 29.marta lēmumu SIA “</w:t>
      </w:r>
      <w:r w:rsidR="00675E5B">
        <w:rPr>
          <w:rFonts w:eastAsia="Arial Unicode MS" w:cs="Times New Roman"/>
          <w:kern w:val="1"/>
          <w:szCs w:val="24"/>
        </w:rPr>
        <w:t>/Nosaukums A/</w:t>
      </w:r>
      <w:r w:rsidRPr="008064AF">
        <w:rPr>
          <w:rFonts w:eastAsia="Arial Unicode MS" w:cs="Times New Roman"/>
          <w:kern w:val="1"/>
          <w:szCs w:val="24"/>
        </w:rPr>
        <w:t xml:space="preserve">” kontā esošie līdzekļi ir atzīti par noziedzīgi iegūtiem un ierosināts tiesai tos novirzīt cietušajām personām, kuras ar administratores lēmumiem atzītas par Parādnieka kreditoriem. Tāpat Valsts policija informējusi, ka ir pieņemts lēmums par kriminālprocesa par </w:t>
      </w:r>
      <w:r w:rsidR="00675E5B">
        <w:rPr>
          <w:rFonts w:eastAsia="Arial Unicode MS" w:cs="Times New Roman"/>
          <w:kern w:val="1"/>
          <w:szCs w:val="24"/>
        </w:rPr>
        <w:t>/</w:t>
      </w:r>
      <w:proofErr w:type="spellStart"/>
      <w:r w:rsidR="00675E5B">
        <w:rPr>
          <w:rFonts w:eastAsia="Arial Unicode MS" w:cs="Times New Roman"/>
          <w:kern w:val="1"/>
          <w:szCs w:val="24"/>
        </w:rPr>
        <w:t>pers.B</w:t>
      </w:r>
      <w:proofErr w:type="spellEnd"/>
      <w:r w:rsidR="00675E5B">
        <w:rPr>
          <w:rFonts w:eastAsia="Arial Unicode MS" w:cs="Times New Roman"/>
          <w:kern w:val="1"/>
          <w:szCs w:val="24"/>
        </w:rPr>
        <w:t xml:space="preserve">/ </w:t>
      </w:r>
      <w:r w:rsidRPr="008064AF">
        <w:rPr>
          <w:rFonts w:eastAsia="Arial Unicode MS" w:cs="Times New Roman"/>
          <w:kern w:val="1"/>
          <w:szCs w:val="24"/>
        </w:rPr>
        <w:t xml:space="preserve">prettiesisko rīcību nodošanu kriminālvajāšanas uzsākšanai. </w:t>
      </w:r>
    </w:p>
    <w:p w14:paraId="42DB0CAE" w14:textId="3041435D" w:rsidR="00590DD3" w:rsidRPr="008064AF" w:rsidRDefault="00590DD3" w:rsidP="00590DD3">
      <w:pPr>
        <w:spacing w:after="0" w:line="360" w:lineRule="auto"/>
        <w:ind w:firstLine="720"/>
        <w:jc w:val="both"/>
        <w:rPr>
          <w:rFonts w:eastAsia="Arial Unicode MS" w:cs="Times New Roman"/>
          <w:kern w:val="1"/>
          <w:szCs w:val="24"/>
        </w:rPr>
      </w:pPr>
      <w:r w:rsidRPr="008064AF">
        <w:rPr>
          <w:rFonts w:eastAsia="Arial Unicode MS" w:cs="Times New Roman"/>
          <w:kern w:val="1"/>
          <w:szCs w:val="24"/>
        </w:rPr>
        <w:t>Finanšu izlūkošanas dienesta 2017.gada 26.aprīļa ziņojumā Valsts policijai norādītas iespējami notikušas noziedzīgas vai aizdomīgas darbības, veidojot tā dēvēto “PVN karuseļu shēmu” ar finanšu līdzekļiem SIA “</w:t>
      </w:r>
      <w:r w:rsidR="00675E5B">
        <w:rPr>
          <w:rFonts w:eastAsia="Arial Unicode MS" w:cs="Times New Roman"/>
          <w:kern w:val="1"/>
          <w:szCs w:val="24"/>
        </w:rPr>
        <w:t>/Nosaukums A/</w:t>
      </w:r>
      <w:r w:rsidRPr="008064AF">
        <w:rPr>
          <w:rFonts w:eastAsia="Arial Unicode MS" w:cs="Times New Roman"/>
          <w:kern w:val="1"/>
          <w:szCs w:val="24"/>
        </w:rPr>
        <w:t>” un saistīto uzņēmumu kontos, minētas iesaistītās personas, kas ar nodomu iniciējušas SIA “</w:t>
      </w:r>
      <w:r w:rsidR="00675E5B">
        <w:rPr>
          <w:rFonts w:eastAsia="Arial Unicode MS" w:cs="Times New Roman"/>
          <w:kern w:val="1"/>
          <w:szCs w:val="24"/>
        </w:rPr>
        <w:t>/Nosaukums A/</w:t>
      </w:r>
      <w:r w:rsidRPr="008064AF">
        <w:rPr>
          <w:rFonts w:eastAsia="Arial Unicode MS" w:cs="Times New Roman"/>
          <w:kern w:val="1"/>
          <w:szCs w:val="24"/>
        </w:rPr>
        <w:t xml:space="preserve">” maksātnespējas procesu, iespējams, iesaistot tajās maksātnespējas administratori </w:t>
      </w:r>
      <w:r w:rsidR="00675E5B">
        <w:rPr>
          <w:rFonts w:eastAsia="Arial Unicode MS" w:cs="Times New Roman"/>
          <w:kern w:val="1"/>
          <w:szCs w:val="24"/>
        </w:rPr>
        <w:t>/</w:t>
      </w:r>
      <w:proofErr w:type="spellStart"/>
      <w:r w:rsidR="00675E5B">
        <w:rPr>
          <w:rFonts w:eastAsia="Arial Unicode MS" w:cs="Times New Roman"/>
          <w:kern w:val="1"/>
          <w:szCs w:val="24"/>
        </w:rPr>
        <w:t>pers.A</w:t>
      </w:r>
      <w:proofErr w:type="spellEnd"/>
      <w:r w:rsidR="00675E5B">
        <w:rPr>
          <w:rFonts w:eastAsia="Arial Unicode MS" w:cs="Times New Roman"/>
          <w:kern w:val="1"/>
          <w:szCs w:val="24"/>
        </w:rPr>
        <w:t>/</w:t>
      </w:r>
      <w:r w:rsidRPr="008064AF">
        <w:rPr>
          <w:rFonts w:eastAsia="Arial Unicode MS" w:cs="Times New Roman"/>
          <w:kern w:val="1"/>
          <w:szCs w:val="24"/>
        </w:rPr>
        <w:t>. No ziņojuma izriet, ka tiesa īsā laika periodā – 6 dienas pēc dokumentu saņemšanas –, pasludinājusi nolēmumu par SIA “</w:t>
      </w:r>
      <w:r w:rsidR="00675E5B">
        <w:rPr>
          <w:rFonts w:eastAsia="Arial Unicode MS" w:cs="Times New Roman"/>
          <w:kern w:val="1"/>
          <w:szCs w:val="24"/>
        </w:rPr>
        <w:t>/Nosaukums A/</w:t>
      </w:r>
      <w:r w:rsidRPr="008064AF">
        <w:rPr>
          <w:rFonts w:eastAsia="Arial Unicode MS" w:cs="Times New Roman"/>
          <w:kern w:val="1"/>
          <w:szCs w:val="24"/>
        </w:rPr>
        <w:t xml:space="preserve">” maksātnespēju un </w:t>
      </w:r>
      <w:r w:rsidR="00675E5B">
        <w:rPr>
          <w:rFonts w:eastAsia="Arial Unicode MS" w:cs="Times New Roman"/>
          <w:kern w:val="1"/>
          <w:szCs w:val="24"/>
        </w:rPr>
        <w:t>/</w:t>
      </w:r>
      <w:proofErr w:type="spellStart"/>
      <w:r w:rsidR="00675E5B">
        <w:rPr>
          <w:rFonts w:eastAsia="Arial Unicode MS" w:cs="Times New Roman"/>
          <w:kern w:val="1"/>
          <w:szCs w:val="24"/>
        </w:rPr>
        <w:t>pers.A</w:t>
      </w:r>
      <w:proofErr w:type="spellEnd"/>
      <w:r w:rsidR="00675E5B">
        <w:rPr>
          <w:rFonts w:eastAsia="Arial Unicode MS" w:cs="Times New Roman"/>
          <w:kern w:val="1"/>
          <w:szCs w:val="24"/>
        </w:rPr>
        <w:t xml:space="preserve">/ </w:t>
      </w:r>
      <w:r w:rsidRPr="008064AF">
        <w:rPr>
          <w:rFonts w:eastAsia="Arial Unicode MS" w:cs="Times New Roman"/>
          <w:kern w:val="1"/>
          <w:szCs w:val="24"/>
        </w:rPr>
        <w:t>iecelšanu par maksātnespējas administratori. Ziņojumā rekomendēts Valsts policijai pārbaudīt un izvērtēt versiju par pievienotās vērtības nodokļa krāpšanas shēmu un tajā iespējami iesaistītajām ziņojumā pieminētajām personām.</w:t>
      </w:r>
    </w:p>
    <w:p w14:paraId="6882527D" w14:textId="77777777" w:rsidR="00590DD3" w:rsidRPr="008064AF" w:rsidRDefault="00590DD3" w:rsidP="00590DD3">
      <w:pPr>
        <w:spacing w:after="0" w:line="360" w:lineRule="auto"/>
        <w:ind w:firstLine="720"/>
        <w:jc w:val="both"/>
        <w:rPr>
          <w:rFonts w:eastAsia="Arial Unicode MS" w:cs="Times New Roman"/>
          <w:kern w:val="1"/>
          <w:szCs w:val="24"/>
        </w:rPr>
      </w:pPr>
    </w:p>
    <w:p w14:paraId="6AA37919" w14:textId="39938D19" w:rsidR="00590DD3" w:rsidRPr="008064AF" w:rsidRDefault="00590DD3" w:rsidP="00590DD3">
      <w:pPr>
        <w:spacing w:after="0" w:line="360" w:lineRule="auto"/>
        <w:ind w:firstLine="720"/>
        <w:jc w:val="both"/>
        <w:rPr>
          <w:rFonts w:eastAsia="Arial Unicode MS" w:cs="Times New Roman"/>
          <w:kern w:val="1"/>
          <w:szCs w:val="24"/>
        </w:rPr>
      </w:pPr>
      <w:r w:rsidRPr="008064AF">
        <w:rPr>
          <w:rFonts w:eastAsia="Arial Unicode MS" w:cs="Times New Roman"/>
          <w:kern w:val="1"/>
          <w:szCs w:val="24"/>
        </w:rPr>
        <w:t>[4]</w:t>
      </w:r>
      <w:r w:rsidRPr="008064AF">
        <w:rPr>
          <w:rFonts w:cs="Times New Roman"/>
          <w:szCs w:val="24"/>
        </w:rPr>
        <w:t xml:space="preserve"> Paskaidrojumā tiesnese sniegusi informāciju par savu darbību administratores amatā </w:t>
      </w:r>
      <w:r w:rsidRPr="008064AF">
        <w:rPr>
          <w:rFonts w:eastAsia="Arial Unicode MS" w:cs="Times New Roman"/>
          <w:kern w:val="1"/>
          <w:szCs w:val="24"/>
        </w:rPr>
        <w:t>SIA “</w:t>
      </w:r>
      <w:r w:rsidR="00675E5B">
        <w:rPr>
          <w:rFonts w:eastAsia="Arial Unicode MS" w:cs="Times New Roman"/>
          <w:kern w:val="1"/>
          <w:szCs w:val="24"/>
        </w:rPr>
        <w:t>/Nosaukums A/</w:t>
      </w:r>
      <w:r w:rsidRPr="008064AF">
        <w:rPr>
          <w:rFonts w:eastAsia="Arial Unicode MS" w:cs="Times New Roman"/>
          <w:kern w:val="1"/>
          <w:szCs w:val="24"/>
        </w:rPr>
        <w:t xml:space="preserve">” maksātnespējas procesā, no kuras izriet, ka pirms iecelšanas par </w:t>
      </w:r>
      <w:bookmarkStart w:id="2" w:name="_Hlk70160508"/>
      <w:r w:rsidRPr="008064AF">
        <w:rPr>
          <w:rFonts w:eastAsia="Arial Unicode MS" w:cs="Times New Roman"/>
          <w:kern w:val="1"/>
          <w:szCs w:val="24"/>
        </w:rPr>
        <w:t>SIA “</w:t>
      </w:r>
      <w:r w:rsidR="00675E5B">
        <w:rPr>
          <w:rFonts w:eastAsia="Arial Unicode MS" w:cs="Times New Roman"/>
          <w:kern w:val="1"/>
          <w:szCs w:val="24"/>
        </w:rPr>
        <w:t>/Nosaukums A/</w:t>
      </w:r>
      <w:r w:rsidRPr="008064AF">
        <w:rPr>
          <w:rFonts w:eastAsia="Arial Unicode MS" w:cs="Times New Roman"/>
          <w:kern w:val="1"/>
          <w:szCs w:val="24"/>
        </w:rPr>
        <w:t xml:space="preserve">” </w:t>
      </w:r>
      <w:bookmarkEnd w:id="2"/>
      <w:r w:rsidRPr="008064AF">
        <w:rPr>
          <w:rFonts w:eastAsia="Arial Unicode MS" w:cs="Times New Roman"/>
          <w:kern w:val="1"/>
          <w:szCs w:val="24"/>
        </w:rPr>
        <w:t>administratori viņa nav bijusi un nevarēja būt iesaistīta SIA “</w:t>
      </w:r>
      <w:r w:rsidR="00675E5B">
        <w:rPr>
          <w:rFonts w:eastAsia="Arial Unicode MS" w:cs="Times New Roman"/>
          <w:kern w:val="1"/>
          <w:szCs w:val="24"/>
        </w:rPr>
        <w:t xml:space="preserve">/Nosaukums </w:t>
      </w:r>
      <w:r w:rsidR="00675E5B">
        <w:rPr>
          <w:rFonts w:eastAsia="Arial Unicode MS" w:cs="Times New Roman"/>
          <w:kern w:val="1"/>
          <w:szCs w:val="24"/>
        </w:rPr>
        <w:lastRenderedPageBreak/>
        <w:t>A/</w:t>
      </w:r>
      <w:r w:rsidRPr="008064AF">
        <w:rPr>
          <w:rFonts w:eastAsia="Arial Unicode MS" w:cs="Times New Roman"/>
          <w:kern w:val="1"/>
          <w:szCs w:val="24"/>
        </w:rPr>
        <w:t>” darījumos, jo viņai nav bijuši zināmi nedz SIA “</w:t>
      </w:r>
      <w:r w:rsidR="00675E5B">
        <w:rPr>
          <w:rFonts w:eastAsia="Arial Unicode MS" w:cs="Times New Roman"/>
          <w:kern w:val="1"/>
          <w:szCs w:val="24"/>
        </w:rPr>
        <w:t>/Nosaukums A/</w:t>
      </w:r>
      <w:r w:rsidRPr="008064AF">
        <w:rPr>
          <w:rFonts w:eastAsia="Arial Unicode MS" w:cs="Times New Roman"/>
          <w:kern w:val="1"/>
          <w:szCs w:val="24"/>
        </w:rPr>
        <w:t xml:space="preserve">”, nedz tās darījumu partneri, kā arī viņa nav bijusi pazīstama ar uzņēmumu amatpersonām un pārstāvjiem. Maksātnespējas laikā ar šīm personām bijuši lietišķi kontakti, kas nepieciešami maksātnespējas procesā. Visus lēmumus maksātnespējas procesā pieņēmusi atbilstoši normatīvajam regulējumam Maksātnespējas likumā, iepriekš pārbaudot kreditoru pieprasījumu pamatotību pēc viņas rīcībā esošajiem dokumentiem un informācijas, kas ir publiski pieejama un saņemta no iestādēm, ieskaitot kredītiestāžu kontu pārskatus. Daļa no pieņemtajiem lēmumiem, ar kuriem uzņēmumi netika iekļauti kreditoru sarakstā, tikuši pārsūdzēti tiesā, bet uzņēmumu sūdzības ar tiesas lēmumu </w:t>
      </w:r>
      <w:r w:rsidR="00FC73AE" w:rsidRPr="008064AF">
        <w:rPr>
          <w:rFonts w:eastAsia="Arial Unicode MS" w:cs="Times New Roman"/>
          <w:kern w:val="1"/>
          <w:szCs w:val="24"/>
        </w:rPr>
        <w:t xml:space="preserve">noraidītas </w:t>
      </w:r>
      <w:r w:rsidRPr="008064AF">
        <w:rPr>
          <w:rFonts w:eastAsia="Arial Unicode MS" w:cs="Times New Roman"/>
          <w:kern w:val="1"/>
          <w:szCs w:val="24"/>
        </w:rPr>
        <w:t xml:space="preserve">kā nepamatotas. </w:t>
      </w:r>
      <w:r w:rsidR="00675E5B">
        <w:rPr>
          <w:rFonts w:eastAsia="Arial Unicode MS" w:cs="Times New Roman"/>
          <w:kern w:val="1"/>
          <w:szCs w:val="24"/>
        </w:rPr>
        <w:t>/</w:t>
      </w:r>
      <w:proofErr w:type="spellStart"/>
      <w:r w:rsidR="00675E5B">
        <w:rPr>
          <w:rFonts w:eastAsia="Arial Unicode MS" w:cs="Times New Roman"/>
          <w:kern w:val="1"/>
          <w:szCs w:val="24"/>
        </w:rPr>
        <w:t>pers.A</w:t>
      </w:r>
      <w:proofErr w:type="spellEnd"/>
      <w:r w:rsidR="00675E5B">
        <w:rPr>
          <w:rFonts w:eastAsia="Arial Unicode MS" w:cs="Times New Roman"/>
          <w:kern w:val="1"/>
          <w:szCs w:val="24"/>
        </w:rPr>
        <w:t xml:space="preserve">/ </w:t>
      </w:r>
      <w:r w:rsidRPr="008064AF">
        <w:rPr>
          <w:rFonts w:eastAsia="Arial Unicode MS" w:cs="Times New Roman"/>
          <w:kern w:val="1"/>
          <w:szCs w:val="24"/>
        </w:rPr>
        <w:t xml:space="preserve">ieskatā viņas darbības, apstrīdot </w:t>
      </w:r>
      <w:r w:rsidR="00675E5B">
        <w:rPr>
          <w:rFonts w:eastAsia="Arial Unicode MS" w:cs="Times New Roman"/>
          <w:kern w:val="1"/>
          <w:szCs w:val="24"/>
        </w:rPr>
        <w:t>/</w:t>
      </w:r>
      <w:proofErr w:type="spellStart"/>
      <w:r w:rsidR="00675E5B">
        <w:rPr>
          <w:rFonts w:eastAsia="Arial Unicode MS" w:cs="Times New Roman"/>
          <w:kern w:val="1"/>
          <w:szCs w:val="24"/>
        </w:rPr>
        <w:t>pers.B</w:t>
      </w:r>
      <w:proofErr w:type="spellEnd"/>
      <w:r w:rsidR="00675E5B">
        <w:rPr>
          <w:rFonts w:eastAsia="Arial Unicode MS" w:cs="Times New Roman"/>
          <w:kern w:val="1"/>
          <w:szCs w:val="24"/>
        </w:rPr>
        <w:t xml:space="preserve">/ </w:t>
      </w:r>
      <w:r w:rsidRPr="008064AF">
        <w:rPr>
          <w:rFonts w:eastAsia="Arial Unicode MS" w:cs="Times New Roman"/>
          <w:kern w:val="1"/>
          <w:szCs w:val="24"/>
        </w:rPr>
        <w:t>noslēgtos darījumus ar daļu no uzņēmumiem, ir vērtējamas tieši kā pretdarbošanās viņa mēģinājumam izkrāpt no SIA “</w:t>
      </w:r>
      <w:r w:rsidR="00675E5B">
        <w:rPr>
          <w:rFonts w:eastAsia="Arial Unicode MS" w:cs="Times New Roman"/>
          <w:kern w:val="1"/>
          <w:szCs w:val="24"/>
        </w:rPr>
        <w:t>/Nosaukums A/</w:t>
      </w:r>
      <w:r w:rsidRPr="008064AF">
        <w:rPr>
          <w:rFonts w:eastAsia="Arial Unicode MS" w:cs="Times New Roman"/>
          <w:kern w:val="1"/>
          <w:szCs w:val="24"/>
        </w:rPr>
        <w:t>” naudas līdzekļus.</w:t>
      </w:r>
    </w:p>
    <w:p w14:paraId="1C699F4F" w14:textId="33882DC5" w:rsidR="00590DD3" w:rsidRPr="008064AF" w:rsidRDefault="00590DD3" w:rsidP="00590DD3">
      <w:pPr>
        <w:spacing w:after="0" w:line="360" w:lineRule="auto"/>
        <w:ind w:firstLine="720"/>
        <w:jc w:val="both"/>
        <w:rPr>
          <w:rFonts w:eastAsia="Arial Unicode MS" w:cs="Times New Roman"/>
          <w:kern w:val="1"/>
          <w:szCs w:val="24"/>
        </w:rPr>
      </w:pPr>
      <w:r w:rsidRPr="008064AF">
        <w:rPr>
          <w:rFonts w:eastAsia="Arial Unicode MS" w:cs="Times New Roman"/>
          <w:kern w:val="1"/>
          <w:szCs w:val="24"/>
        </w:rPr>
        <w:t xml:space="preserve">Visa maksātnespējas procesa laikā ne tiesa, ne Maksātnespējas kontroles dienests nav konstatējuši nevienu pārkāpumu </w:t>
      </w:r>
      <w:r w:rsidR="00675E5B">
        <w:rPr>
          <w:rFonts w:eastAsia="Arial Unicode MS" w:cs="Times New Roman"/>
          <w:kern w:val="1"/>
          <w:szCs w:val="24"/>
        </w:rPr>
        <w:t>/</w:t>
      </w:r>
      <w:proofErr w:type="spellStart"/>
      <w:r w:rsidR="00675E5B">
        <w:rPr>
          <w:rFonts w:eastAsia="Arial Unicode MS" w:cs="Times New Roman"/>
          <w:kern w:val="1"/>
          <w:szCs w:val="24"/>
        </w:rPr>
        <w:t>pers.A</w:t>
      </w:r>
      <w:proofErr w:type="spellEnd"/>
      <w:r w:rsidR="00675E5B">
        <w:rPr>
          <w:rFonts w:eastAsia="Arial Unicode MS" w:cs="Times New Roman"/>
          <w:kern w:val="1"/>
          <w:szCs w:val="24"/>
        </w:rPr>
        <w:t xml:space="preserve">/ </w:t>
      </w:r>
      <w:r w:rsidRPr="008064AF">
        <w:rPr>
          <w:rFonts w:eastAsia="Arial Unicode MS" w:cs="Times New Roman"/>
          <w:kern w:val="1"/>
          <w:szCs w:val="24"/>
        </w:rPr>
        <w:t>darbībās.</w:t>
      </w:r>
    </w:p>
    <w:p w14:paraId="1B114A68" w14:textId="4F337C33" w:rsidR="00590DD3" w:rsidRPr="008064AF" w:rsidRDefault="00590DD3" w:rsidP="00590DD3">
      <w:pPr>
        <w:spacing w:after="0" w:line="360" w:lineRule="auto"/>
        <w:ind w:firstLine="720"/>
        <w:jc w:val="both"/>
        <w:rPr>
          <w:rFonts w:eastAsia="Arial Unicode MS" w:cs="Times New Roman"/>
          <w:kern w:val="1"/>
          <w:szCs w:val="24"/>
        </w:rPr>
      </w:pPr>
      <w:r w:rsidRPr="008064AF">
        <w:rPr>
          <w:rFonts w:eastAsia="Arial Unicode MS" w:cs="Times New Roman"/>
          <w:kern w:val="1"/>
          <w:szCs w:val="24"/>
        </w:rPr>
        <w:t xml:space="preserve">Turklāt </w:t>
      </w:r>
      <w:r w:rsidR="00675E5B">
        <w:rPr>
          <w:rFonts w:eastAsia="Arial Unicode MS" w:cs="Times New Roman"/>
          <w:kern w:val="1"/>
          <w:szCs w:val="24"/>
        </w:rPr>
        <w:t>/</w:t>
      </w:r>
      <w:proofErr w:type="spellStart"/>
      <w:r w:rsidR="00675E5B">
        <w:rPr>
          <w:rFonts w:eastAsia="Arial Unicode MS" w:cs="Times New Roman"/>
          <w:kern w:val="1"/>
          <w:szCs w:val="24"/>
        </w:rPr>
        <w:t>pers.A</w:t>
      </w:r>
      <w:proofErr w:type="spellEnd"/>
      <w:r w:rsidR="00675E5B">
        <w:rPr>
          <w:rFonts w:eastAsia="Arial Unicode MS" w:cs="Times New Roman"/>
          <w:kern w:val="1"/>
          <w:szCs w:val="24"/>
        </w:rPr>
        <w:t xml:space="preserve">/ </w:t>
      </w:r>
      <w:r w:rsidRPr="008064AF">
        <w:rPr>
          <w:rFonts w:eastAsia="Arial Unicode MS" w:cs="Times New Roman"/>
          <w:kern w:val="1"/>
          <w:szCs w:val="24"/>
        </w:rPr>
        <w:t>norādījusi, ka SIA “</w:t>
      </w:r>
      <w:r w:rsidR="00675E5B">
        <w:rPr>
          <w:rFonts w:eastAsia="Arial Unicode MS" w:cs="Times New Roman"/>
          <w:kern w:val="1"/>
          <w:szCs w:val="24"/>
        </w:rPr>
        <w:t>/Nosaukums A/</w:t>
      </w:r>
      <w:r w:rsidRPr="008064AF">
        <w:rPr>
          <w:rFonts w:eastAsia="Arial Unicode MS" w:cs="Times New Roman"/>
          <w:kern w:val="1"/>
          <w:szCs w:val="24"/>
        </w:rPr>
        <w:t xml:space="preserve">” pārstāvis </w:t>
      </w:r>
      <w:r w:rsidR="00675E5B">
        <w:rPr>
          <w:rFonts w:eastAsia="Arial Unicode MS" w:cs="Times New Roman"/>
          <w:kern w:val="1"/>
          <w:szCs w:val="24"/>
        </w:rPr>
        <w:t>/</w:t>
      </w:r>
      <w:proofErr w:type="spellStart"/>
      <w:r w:rsidR="00675E5B">
        <w:rPr>
          <w:rFonts w:eastAsia="Arial Unicode MS" w:cs="Times New Roman"/>
          <w:kern w:val="1"/>
          <w:szCs w:val="24"/>
        </w:rPr>
        <w:t>pers.B</w:t>
      </w:r>
      <w:proofErr w:type="spellEnd"/>
      <w:r w:rsidR="00675E5B">
        <w:rPr>
          <w:rFonts w:eastAsia="Arial Unicode MS" w:cs="Times New Roman"/>
          <w:kern w:val="1"/>
          <w:szCs w:val="24"/>
        </w:rPr>
        <w:t xml:space="preserve">/ </w:t>
      </w:r>
      <w:r w:rsidRPr="008064AF">
        <w:rPr>
          <w:rFonts w:eastAsia="Arial Unicode MS" w:cs="Times New Roman"/>
          <w:kern w:val="1"/>
          <w:szCs w:val="24"/>
        </w:rPr>
        <w:t>ir izvairījies no SIA “</w:t>
      </w:r>
      <w:r w:rsidR="00675E5B">
        <w:rPr>
          <w:rFonts w:eastAsia="Arial Unicode MS" w:cs="Times New Roman"/>
          <w:kern w:val="1"/>
          <w:szCs w:val="24"/>
        </w:rPr>
        <w:t>/Nosaukums A/</w:t>
      </w:r>
      <w:r w:rsidRPr="008064AF">
        <w:rPr>
          <w:rFonts w:eastAsia="Arial Unicode MS" w:cs="Times New Roman"/>
          <w:kern w:val="1"/>
          <w:szCs w:val="24"/>
        </w:rPr>
        <w:t xml:space="preserve">” dokumentu nodošanas, kā arī sniedzis nepatiesu informāciju par šī uzņēmuma saimniecisko darbību. Saņemot </w:t>
      </w:r>
      <w:r w:rsidR="00675E5B">
        <w:rPr>
          <w:rFonts w:eastAsia="Arial Unicode MS" w:cs="Times New Roman"/>
          <w:kern w:val="1"/>
          <w:szCs w:val="24"/>
        </w:rPr>
        <w:t>/</w:t>
      </w:r>
      <w:proofErr w:type="spellStart"/>
      <w:r w:rsidR="00675E5B">
        <w:rPr>
          <w:rFonts w:eastAsia="Arial Unicode MS" w:cs="Times New Roman"/>
          <w:kern w:val="1"/>
          <w:szCs w:val="24"/>
        </w:rPr>
        <w:t>pers.A</w:t>
      </w:r>
      <w:proofErr w:type="spellEnd"/>
      <w:r w:rsidR="00675E5B">
        <w:rPr>
          <w:rFonts w:eastAsia="Arial Unicode MS" w:cs="Times New Roman"/>
          <w:kern w:val="1"/>
          <w:szCs w:val="24"/>
        </w:rPr>
        <w:t xml:space="preserve">/ </w:t>
      </w:r>
      <w:r w:rsidRPr="008064AF">
        <w:rPr>
          <w:rFonts w:eastAsia="Arial Unicode MS" w:cs="Times New Roman"/>
          <w:kern w:val="1"/>
          <w:szCs w:val="24"/>
        </w:rPr>
        <w:t xml:space="preserve">sastādīto </w:t>
      </w:r>
      <w:bookmarkStart w:id="3" w:name="_Hlk70168502"/>
      <w:r w:rsidRPr="008064AF">
        <w:rPr>
          <w:rFonts w:eastAsia="Arial Unicode MS" w:cs="Times New Roman"/>
          <w:kern w:val="1"/>
          <w:szCs w:val="24"/>
        </w:rPr>
        <w:t>SIA “</w:t>
      </w:r>
      <w:r w:rsidR="00675E5B">
        <w:rPr>
          <w:rFonts w:eastAsia="Arial Unicode MS" w:cs="Times New Roman"/>
          <w:kern w:val="1"/>
          <w:szCs w:val="24"/>
        </w:rPr>
        <w:t>/Nosaukums A/</w:t>
      </w:r>
      <w:r w:rsidRPr="008064AF">
        <w:rPr>
          <w:rFonts w:eastAsia="Arial Unicode MS" w:cs="Times New Roman"/>
          <w:kern w:val="1"/>
          <w:szCs w:val="24"/>
        </w:rPr>
        <w:t xml:space="preserve">” </w:t>
      </w:r>
      <w:bookmarkEnd w:id="3"/>
      <w:r w:rsidRPr="008064AF">
        <w:rPr>
          <w:rFonts w:eastAsia="Arial Unicode MS" w:cs="Times New Roman"/>
          <w:kern w:val="1"/>
          <w:szCs w:val="24"/>
        </w:rPr>
        <w:t xml:space="preserve">kreditoru prasījumu reģistru, kurā bija iekļauti ar </w:t>
      </w:r>
      <w:r w:rsidR="00675E5B">
        <w:rPr>
          <w:rFonts w:eastAsia="Arial Unicode MS" w:cs="Times New Roman"/>
          <w:kern w:val="1"/>
          <w:szCs w:val="24"/>
        </w:rPr>
        <w:t>/</w:t>
      </w:r>
      <w:proofErr w:type="spellStart"/>
      <w:r w:rsidR="00675E5B">
        <w:rPr>
          <w:rFonts w:eastAsia="Arial Unicode MS" w:cs="Times New Roman"/>
          <w:kern w:val="1"/>
          <w:szCs w:val="24"/>
        </w:rPr>
        <w:t>pers.B</w:t>
      </w:r>
      <w:proofErr w:type="spellEnd"/>
      <w:r w:rsidR="00675E5B">
        <w:rPr>
          <w:rFonts w:eastAsia="Arial Unicode MS" w:cs="Times New Roman"/>
          <w:kern w:val="1"/>
          <w:szCs w:val="24"/>
        </w:rPr>
        <w:t xml:space="preserve">/ </w:t>
      </w:r>
      <w:r w:rsidRPr="008064AF">
        <w:rPr>
          <w:rFonts w:eastAsia="Arial Unicode MS" w:cs="Times New Roman"/>
          <w:kern w:val="1"/>
          <w:szCs w:val="24"/>
        </w:rPr>
        <w:t>saistītie uzņēmumi – UAB “</w:t>
      </w:r>
      <w:r w:rsidR="00675E5B">
        <w:rPr>
          <w:rFonts w:eastAsia="Arial Unicode MS" w:cs="Times New Roman"/>
          <w:kern w:val="1"/>
          <w:szCs w:val="24"/>
        </w:rPr>
        <w:t>/Nosaukums B/</w:t>
      </w:r>
      <w:r w:rsidRPr="008064AF">
        <w:rPr>
          <w:rFonts w:eastAsia="Arial Unicode MS" w:cs="Times New Roman"/>
          <w:kern w:val="1"/>
          <w:szCs w:val="24"/>
        </w:rPr>
        <w:t>” un UAB “</w:t>
      </w:r>
      <w:r w:rsidR="00675E5B">
        <w:rPr>
          <w:rFonts w:eastAsia="Arial Unicode MS" w:cs="Times New Roman"/>
          <w:kern w:val="1"/>
          <w:szCs w:val="24"/>
        </w:rPr>
        <w:t>/Nosaukums C/</w:t>
      </w:r>
      <w:r w:rsidRPr="008064AF">
        <w:rPr>
          <w:rFonts w:eastAsia="Arial Unicode MS" w:cs="Times New Roman"/>
          <w:kern w:val="1"/>
          <w:szCs w:val="24"/>
        </w:rPr>
        <w:t xml:space="preserve">” –, </w:t>
      </w:r>
      <w:r w:rsidR="00675E5B">
        <w:rPr>
          <w:rFonts w:eastAsia="Arial Unicode MS" w:cs="Times New Roman"/>
          <w:kern w:val="1"/>
          <w:szCs w:val="24"/>
        </w:rPr>
        <w:t>/</w:t>
      </w:r>
      <w:proofErr w:type="spellStart"/>
      <w:r w:rsidR="00675E5B">
        <w:rPr>
          <w:rFonts w:eastAsia="Arial Unicode MS" w:cs="Times New Roman"/>
          <w:kern w:val="1"/>
          <w:szCs w:val="24"/>
        </w:rPr>
        <w:t>pers.B</w:t>
      </w:r>
      <w:proofErr w:type="spellEnd"/>
      <w:r w:rsidR="00675E5B">
        <w:rPr>
          <w:rFonts w:eastAsia="Arial Unicode MS" w:cs="Times New Roman"/>
          <w:kern w:val="1"/>
          <w:szCs w:val="24"/>
        </w:rPr>
        <w:t>/</w:t>
      </w:r>
      <w:r w:rsidRPr="008064AF">
        <w:rPr>
          <w:rFonts w:eastAsia="Arial Unicode MS" w:cs="Times New Roman"/>
          <w:kern w:val="1"/>
          <w:szCs w:val="24"/>
        </w:rPr>
        <w:t xml:space="preserve"> administratorei rakstījis vēstules par savu iesaisti pretlikumīgajos darījumos ar naudas līdzekļiem, kurās ar provokatīvu saturu sniedzis arī apzināti nepatiesu informāciju par </w:t>
      </w:r>
      <w:r w:rsidR="00675E5B">
        <w:rPr>
          <w:rFonts w:eastAsia="Arial Unicode MS" w:cs="Times New Roman"/>
          <w:kern w:val="1"/>
          <w:szCs w:val="24"/>
        </w:rPr>
        <w:t>/</w:t>
      </w:r>
      <w:proofErr w:type="spellStart"/>
      <w:r w:rsidR="00675E5B">
        <w:rPr>
          <w:rFonts w:eastAsia="Arial Unicode MS" w:cs="Times New Roman"/>
          <w:kern w:val="1"/>
          <w:szCs w:val="24"/>
        </w:rPr>
        <w:t>pers.A</w:t>
      </w:r>
      <w:proofErr w:type="spellEnd"/>
      <w:r w:rsidR="00675E5B">
        <w:rPr>
          <w:rFonts w:eastAsia="Arial Unicode MS" w:cs="Times New Roman"/>
          <w:kern w:val="1"/>
          <w:szCs w:val="24"/>
        </w:rPr>
        <w:t xml:space="preserve">/ </w:t>
      </w:r>
      <w:r w:rsidRPr="008064AF">
        <w:rPr>
          <w:rFonts w:eastAsia="Arial Unicode MS" w:cs="Times New Roman"/>
          <w:kern w:val="1"/>
          <w:szCs w:val="24"/>
        </w:rPr>
        <w:t xml:space="preserve">iesaistīšanos noziedzīgos nodarījumos. Uz vēstulēm administratore sniegusi atbildes </w:t>
      </w:r>
      <w:r w:rsidR="00675E5B">
        <w:rPr>
          <w:rFonts w:eastAsia="Arial Unicode MS" w:cs="Times New Roman"/>
          <w:kern w:val="1"/>
          <w:szCs w:val="24"/>
        </w:rPr>
        <w:t>/</w:t>
      </w:r>
      <w:proofErr w:type="spellStart"/>
      <w:r w:rsidR="00675E5B">
        <w:rPr>
          <w:rFonts w:eastAsia="Arial Unicode MS" w:cs="Times New Roman"/>
          <w:kern w:val="1"/>
          <w:szCs w:val="24"/>
        </w:rPr>
        <w:t>pers.B</w:t>
      </w:r>
      <w:proofErr w:type="spellEnd"/>
      <w:r w:rsidR="00675E5B">
        <w:rPr>
          <w:rFonts w:eastAsia="Arial Unicode MS" w:cs="Times New Roman"/>
          <w:kern w:val="1"/>
          <w:szCs w:val="24"/>
        </w:rPr>
        <w:t>/</w:t>
      </w:r>
      <w:r w:rsidRPr="008064AF">
        <w:rPr>
          <w:rFonts w:eastAsia="Arial Unicode MS" w:cs="Times New Roman"/>
          <w:kern w:val="1"/>
          <w:szCs w:val="24"/>
        </w:rPr>
        <w:t xml:space="preserve">, par tām informējusi Maksātnespējas administrāciju. Uz </w:t>
      </w:r>
      <w:r w:rsidR="00675E5B">
        <w:rPr>
          <w:rFonts w:eastAsia="Arial Unicode MS" w:cs="Times New Roman"/>
          <w:kern w:val="1"/>
          <w:szCs w:val="24"/>
        </w:rPr>
        <w:t>/</w:t>
      </w:r>
      <w:proofErr w:type="spellStart"/>
      <w:r w:rsidR="00675E5B">
        <w:rPr>
          <w:rFonts w:eastAsia="Arial Unicode MS" w:cs="Times New Roman"/>
          <w:kern w:val="1"/>
          <w:szCs w:val="24"/>
        </w:rPr>
        <w:t>pers.A</w:t>
      </w:r>
      <w:proofErr w:type="spellEnd"/>
      <w:r w:rsidR="00675E5B">
        <w:rPr>
          <w:rFonts w:eastAsia="Arial Unicode MS" w:cs="Times New Roman"/>
          <w:kern w:val="1"/>
          <w:szCs w:val="24"/>
        </w:rPr>
        <w:t xml:space="preserve">/ </w:t>
      </w:r>
      <w:r w:rsidRPr="008064AF">
        <w:rPr>
          <w:rFonts w:eastAsia="Arial Unicode MS" w:cs="Times New Roman"/>
          <w:kern w:val="1"/>
          <w:szCs w:val="24"/>
        </w:rPr>
        <w:t xml:space="preserve">iesnieguma pamata saistībā ar </w:t>
      </w:r>
      <w:r w:rsidR="00675E5B" w:rsidRPr="0098729B">
        <w:rPr>
          <w:rFonts w:eastAsia="Arial Unicode MS" w:cs="Times New Roman"/>
          <w:kern w:val="1"/>
          <w:szCs w:val="24"/>
        </w:rPr>
        <w:t>/</w:t>
      </w:r>
      <w:proofErr w:type="spellStart"/>
      <w:r w:rsidR="00675E5B" w:rsidRPr="0098729B">
        <w:rPr>
          <w:rFonts w:eastAsia="Arial Unicode MS" w:cs="Times New Roman"/>
          <w:kern w:val="1"/>
          <w:szCs w:val="24"/>
        </w:rPr>
        <w:t>pers.B</w:t>
      </w:r>
      <w:proofErr w:type="spellEnd"/>
      <w:r w:rsidR="00675E5B" w:rsidRPr="0098729B">
        <w:rPr>
          <w:rFonts w:eastAsia="Arial Unicode MS" w:cs="Times New Roman"/>
          <w:kern w:val="1"/>
          <w:szCs w:val="24"/>
        </w:rPr>
        <w:t>/</w:t>
      </w:r>
      <w:r w:rsidR="00675E5B">
        <w:rPr>
          <w:rFonts w:eastAsia="Arial Unicode MS" w:cs="Times New Roman"/>
          <w:kern w:val="1"/>
          <w:szCs w:val="24"/>
        </w:rPr>
        <w:t xml:space="preserve"> </w:t>
      </w:r>
      <w:r w:rsidRPr="008064AF">
        <w:rPr>
          <w:rFonts w:eastAsia="Arial Unicode MS" w:cs="Times New Roman"/>
          <w:kern w:val="1"/>
          <w:szCs w:val="24"/>
        </w:rPr>
        <w:t xml:space="preserve">vēstulēs norādīto nepatieso informāciju policijā pret </w:t>
      </w:r>
      <w:r w:rsidR="0098729B">
        <w:rPr>
          <w:rFonts w:eastAsia="Arial Unicode MS" w:cs="Times New Roman"/>
          <w:kern w:val="1"/>
          <w:szCs w:val="24"/>
        </w:rPr>
        <w:t>/</w:t>
      </w:r>
      <w:proofErr w:type="spellStart"/>
      <w:r w:rsidR="0098729B">
        <w:rPr>
          <w:rFonts w:eastAsia="Arial Unicode MS" w:cs="Times New Roman"/>
          <w:kern w:val="1"/>
          <w:szCs w:val="24"/>
        </w:rPr>
        <w:t>pers.B</w:t>
      </w:r>
      <w:proofErr w:type="spellEnd"/>
      <w:r w:rsidR="0098729B">
        <w:rPr>
          <w:rFonts w:eastAsia="Arial Unicode MS" w:cs="Times New Roman"/>
          <w:kern w:val="1"/>
          <w:szCs w:val="24"/>
        </w:rPr>
        <w:t>/</w:t>
      </w:r>
      <w:r w:rsidRPr="008064AF">
        <w:rPr>
          <w:rFonts w:eastAsia="Arial Unicode MS" w:cs="Times New Roman"/>
          <w:kern w:val="1"/>
          <w:szCs w:val="24"/>
        </w:rPr>
        <w:t xml:space="preserve"> uzsākts kriminālprocess par neslavas celšanu. Tāpat arī par SIA “</w:t>
      </w:r>
      <w:r w:rsidR="00675E5B">
        <w:rPr>
          <w:rFonts w:eastAsia="Arial Unicode MS" w:cs="Times New Roman"/>
          <w:kern w:val="1"/>
          <w:szCs w:val="24"/>
        </w:rPr>
        <w:t>/Nosaukums A/</w:t>
      </w:r>
      <w:r w:rsidRPr="008064AF">
        <w:rPr>
          <w:rFonts w:eastAsia="Arial Unicode MS" w:cs="Times New Roman"/>
          <w:kern w:val="1"/>
          <w:szCs w:val="24"/>
        </w:rPr>
        <w:t xml:space="preserve">” maksātnespējas procesā notiekošo </w:t>
      </w:r>
      <w:r w:rsidR="0098729B">
        <w:rPr>
          <w:rFonts w:eastAsia="Arial Unicode MS" w:cs="Times New Roman"/>
          <w:kern w:val="1"/>
          <w:szCs w:val="24"/>
        </w:rPr>
        <w:t>/</w:t>
      </w:r>
      <w:proofErr w:type="spellStart"/>
      <w:r w:rsidR="0098729B">
        <w:rPr>
          <w:rFonts w:eastAsia="Arial Unicode MS" w:cs="Times New Roman"/>
          <w:kern w:val="1"/>
          <w:szCs w:val="24"/>
        </w:rPr>
        <w:t>pers.A</w:t>
      </w:r>
      <w:proofErr w:type="spellEnd"/>
      <w:r w:rsidR="0098729B">
        <w:rPr>
          <w:rFonts w:eastAsia="Arial Unicode MS" w:cs="Times New Roman"/>
          <w:kern w:val="1"/>
          <w:szCs w:val="24"/>
        </w:rPr>
        <w:t>/</w:t>
      </w:r>
      <w:r w:rsidRPr="008064AF">
        <w:rPr>
          <w:rFonts w:eastAsia="Arial Unicode MS" w:cs="Times New Roman"/>
          <w:kern w:val="1"/>
          <w:szCs w:val="24"/>
        </w:rPr>
        <w:t xml:space="preserve"> ir sniegusi informāciju Valsts policijai, bet turpmāka komunikācija ar policijas amatpersonām nav notikusi. Plašsaziņas līdzekļos izteiktos pārmetumus par sadarbību ar pievienotās vērtības nodokļa krāpniekiem uzskata par nepamatotiem un patiesībai neatbilstošiem. </w:t>
      </w:r>
    </w:p>
    <w:p w14:paraId="01602DCF" w14:textId="77777777" w:rsidR="00590DD3" w:rsidRPr="008064AF" w:rsidRDefault="00590DD3" w:rsidP="00590DD3">
      <w:pPr>
        <w:spacing w:after="0" w:line="360" w:lineRule="auto"/>
        <w:ind w:firstLine="720"/>
        <w:jc w:val="both"/>
        <w:rPr>
          <w:rFonts w:eastAsia="Arial Unicode MS" w:cs="Times New Roman"/>
          <w:kern w:val="1"/>
          <w:szCs w:val="24"/>
        </w:rPr>
      </w:pPr>
    </w:p>
    <w:p w14:paraId="61CA1040" w14:textId="581DB3E5" w:rsidR="00590DD3" w:rsidRPr="008064AF" w:rsidRDefault="00590DD3" w:rsidP="00590DD3">
      <w:pPr>
        <w:spacing w:after="0" w:line="360" w:lineRule="auto"/>
        <w:ind w:firstLine="720"/>
        <w:jc w:val="both"/>
        <w:rPr>
          <w:rFonts w:eastAsia="Arial Unicode MS" w:cs="Times New Roman"/>
          <w:kern w:val="1"/>
          <w:szCs w:val="24"/>
        </w:rPr>
      </w:pPr>
      <w:r w:rsidRPr="008064AF">
        <w:rPr>
          <w:rFonts w:cs="Times New Roman"/>
          <w:szCs w:val="24"/>
        </w:rPr>
        <w:t>[5] Tiesnešu ētikas komisijas sēdē tiesnese uzturēja rakstveida paskaidrojumus un papildus paskaidroja, ka visas sūdzības, kas iesniegtas tiesā par viņas kā administratores rīcību</w:t>
      </w:r>
      <w:r w:rsidRPr="008064AF">
        <w:rPr>
          <w:rFonts w:eastAsia="Arial Unicode MS" w:cs="Times New Roman"/>
          <w:kern w:val="1"/>
          <w:szCs w:val="24"/>
        </w:rPr>
        <w:t xml:space="preserve"> </w:t>
      </w:r>
      <w:bookmarkStart w:id="4" w:name="_Hlk70173050"/>
      <w:r w:rsidRPr="008064AF">
        <w:rPr>
          <w:rFonts w:eastAsia="Arial Unicode MS" w:cs="Times New Roman"/>
          <w:kern w:val="1"/>
          <w:szCs w:val="24"/>
        </w:rPr>
        <w:t>SIA “</w:t>
      </w:r>
      <w:r w:rsidR="00675E5B">
        <w:rPr>
          <w:rFonts w:eastAsia="Arial Unicode MS" w:cs="Times New Roman"/>
          <w:kern w:val="1"/>
          <w:szCs w:val="24"/>
        </w:rPr>
        <w:t>/Nosaukums A/</w:t>
      </w:r>
      <w:r w:rsidRPr="008064AF">
        <w:rPr>
          <w:rFonts w:eastAsia="Arial Unicode MS" w:cs="Times New Roman"/>
          <w:kern w:val="1"/>
          <w:szCs w:val="24"/>
        </w:rPr>
        <w:t>” maksātnespējas procesā</w:t>
      </w:r>
      <w:bookmarkEnd w:id="4"/>
      <w:r w:rsidRPr="008064AF">
        <w:rPr>
          <w:rFonts w:cs="Times New Roman"/>
          <w:szCs w:val="24"/>
        </w:rPr>
        <w:t xml:space="preserve">, ir noraidītas kā nepamatotas. Maksātnespējas kontroles dienests atzinis, ka viņas darbība </w:t>
      </w:r>
      <w:r w:rsidRPr="008064AF">
        <w:rPr>
          <w:rFonts w:eastAsia="Arial Unicode MS" w:cs="Times New Roman"/>
          <w:kern w:val="1"/>
          <w:szCs w:val="24"/>
        </w:rPr>
        <w:t xml:space="preserve">bijusi atbilstoša normatīvajam regulējumam. </w:t>
      </w:r>
    </w:p>
    <w:p w14:paraId="1FDE4DFB" w14:textId="2ED08D6F" w:rsidR="00590DD3" w:rsidRPr="008064AF" w:rsidRDefault="0098729B" w:rsidP="00590DD3">
      <w:pPr>
        <w:spacing w:after="0" w:line="360" w:lineRule="auto"/>
        <w:ind w:firstLine="720"/>
        <w:jc w:val="both"/>
        <w:rPr>
          <w:rFonts w:cs="Times New Roman"/>
          <w:strike/>
          <w:szCs w:val="24"/>
        </w:rPr>
      </w:pPr>
      <w:r>
        <w:rPr>
          <w:rFonts w:eastAsia="Arial Unicode MS" w:cs="Times New Roman"/>
          <w:kern w:val="1"/>
          <w:szCs w:val="24"/>
        </w:rPr>
        <w:t>/</w:t>
      </w:r>
      <w:proofErr w:type="spellStart"/>
      <w:r>
        <w:rPr>
          <w:rFonts w:eastAsia="Arial Unicode MS" w:cs="Times New Roman"/>
          <w:kern w:val="1"/>
          <w:szCs w:val="24"/>
        </w:rPr>
        <w:t>pers.B</w:t>
      </w:r>
      <w:proofErr w:type="spellEnd"/>
      <w:r>
        <w:rPr>
          <w:rFonts w:eastAsia="Arial Unicode MS" w:cs="Times New Roman"/>
          <w:kern w:val="1"/>
          <w:szCs w:val="24"/>
        </w:rPr>
        <w:t>/</w:t>
      </w:r>
      <w:r w:rsidR="00590DD3" w:rsidRPr="008064AF">
        <w:rPr>
          <w:rFonts w:eastAsia="Arial Unicode MS" w:cs="Times New Roman"/>
          <w:kern w:val="1"/>
          <w:szCs w:val="24"/>
        </w:rPr>
        <w:t xml:space="preserve"> vēstuļu provokatīvo saturu tiesnese skaidroja ar savu kā maksātnespējas administratores darbību, liedzot </w:t>
      </w:r>
      <w:r>
        <w:rPr>
          <w:rFonts w:eastAsia="Arial Unicode MS" w:cs="Times New Roman"/>
          <w:kern w:val="1"/>
          <w:szCs w:val="24"/>
        </w:rPr>
        <w:t>/</w:t>
      </w:r>
      <w:proofErr w:type="spellStart"/>
      <w:r>
        <w:rPr>
          <w:rFonts w:eastAsia="Arial Unicode MS" w:cs="Times New Roman"/>
          <w:kern w:val="1"/>
          <w:szCs w:val="24"/>
        </w:rPr>
        <w:t>pers.B</w:t>
      </w:r>
      <w:proofErr w:type="spellEnd"/>
      <w:r>
        <w:rPr>
          <w:rFonts w:eastAsia="Arial Unicode MS" w:cs="Times New Roman"/>
          <w:kern w:val="1"/>
          <w:szCs w:val="24"/>
        </w:rPr>
        <w:t>/</w:t>
      </w:r>
      <w:r w:rsidR="00590DD3" w:rsidRPr="008064AF">
        <w:rPr>
          <w:rFonts w:eastAsia="Arial Unicode MS" w:cs="Times New Roman"/>
          <w:kern w:val="1"/>
          <w:szCs w:val="24"/>
        </w:rPr>
        <w:t xml:space="preserve"> iegūt naudas līdzekļus no nelikumīgajiem darījumiem. Tiesnese tāpat norādīja, ka maksātnespējas administratori līdz 2020.gada 1.janvārim nebija </w:t>
      </w:r>
      <w:r w:rsidR="00590DD3" w:rsidRPr="008064AF">
        <w:rPr>
          <w:rFonts w:eastAsia="Arial Unicode MS" w:cs="Times New Roman"/>
          <w:kern w:val="1"/>
          <w:szCs w:val="24"/>
        </w:rPr>
        <w:lastRenderedPageBreak/>
        <w:t xml:space="preserve">Legalizācijas novēršanas likuma subjekti, tāpēc viņai nebija pienākuma informēt </w:t>
      </w:r>
      <w:r w:rsidR="00590DD3" w:rsidRPr="008064AF">
        <w:rPr>
          <w:rFonts w:cs="Times New Roman"/>
          <w:szCs w:val="24"/>
        </w:rPr>
        <w:t xml:space="preserve">Finanšu izlūkošanas dienestu par </w:t>
      </w:r>
      <w:r>
        <w:rPr>
          <w:rFonts w:cs="Times New Roman"/>
          <w:szCs w:val="24"/>
        </w:rPr>
        <w:t>/</w:t>
      </w:r>
      <w:proofErr w:type="spellStart"/>
      <w:r>
        <w:rPr>
          <w:rFonts w:cs="Times New Roman"/>
          <w:szCs w:val="24"/>
        </w:rPr>
        <w:t>pers.B</w:t>
      </w:r>
      <w:proofErr w:type="spellEnd"/>
      <w:r>
        <w:rPr>
          <w:rFonts w:cs="Times New Roman"/>
          <w:szCs w:val="24"/>
        </w:rPr>
        <w:t>/</w:t>
      </w:r>
      <w:r w:rsidR="00590DD3" w:rsidRPr="008064AF">
        <w:rPr>
          <w:rFonts w:cs="Times New Roman"/>
          <w:szCs w:val="24"/>
        </w:rPr>
        <w:t xml:space="preserve"> vēstuļu saturu ar viņa atzīšanos noziedzīgajos nodarījumos. Administratores pienākums bija sniegt atbildi </w:t>
      </w:r>
      <w:r>
        <w:rPr>
          <w:rFonts w:cs="Times New Roman"/>
          <w:szCs w:val="24"/>
        </w:rPr>
        <w:t>/</w:t>
      </w:r>
      <w:proofErr w:type="spellStart"/>
      <w:r>
        <w:rPr>
          <w:rFonts w:cs="Times New Roman"/>
          <w:szCs w:val="24"/>
        </w:rPr>
        <w:t>pers.B</w:t>
      </w:r>
      <w:proofErr w:type="spellEnd"/>
      <w:r>
        <w:rPr>
          <w:rFonts w:cs="Times New Roman"/>
          <w:szCs w:val="24"/>
        </w:rPr>
        <w:t>/</w:t>
      </w:r>
      <w:r w:rsidR="00590DD3" w:rsidRPr="008064AF">
        <w:rPr>
          <w:rFonts w:cs="Times New Roman"/>
          <w:szCs w:val="24"/>
        </w:rPr>
        <w:t>, ko arī darījusi un norādījusi viņam kompetentās iestādes, kurās šāda informācija iesniedzama.</w:t>
      </w:r>
    </w:p>
    <w:p w14:paraId="2E625640" w14:textId="77777777" w:rsidR="00590DD3" w:rsidRPr="008064AF" w:rsidRDefault="00590DD3" w:rsidP="00590DD3">
      <w:pPr>
        <w:spacing w:after="0" w:line="360" w:lineRule="auto"/>
        <w:ind w:firstLine="720"/>
        <w:jc w:val="both"/>
        <w:rPr>
          <w:rFonts w:cs="Times New Roman"/>
          <w:szCs w:val="24"/>
        </w:rPr>
      </w:pPr>
    </w:p>
    <w:p w14:paraId="0D939458" w14:textId="6170842F" w:rsidR="00590DD3" w:rsidRPr="008064AF" w:rsidRDefault="00590DD3" w:rsidP="00590DD3">
      <w:pPr>
        <w:spacing w:after="0" w:line="360" w:lineRule="auto"/>
        <w:ind w:firstLine="720"/>
        <w:jc w:val="both"/>
        <w:rPr>
          <w:rFonts w:cs="Times New Roman"/>
          <w:szCs w:val="24"/>
        </w:rPr>
      </w:pPr>
      <w:r w:rsidRPr="008064AF">
        <w:rPr>
          <w:rFonts w:cs="Times New Roman"/>
          <w:szCs w:val="24"/>
        </w:rPr>
        <w:t>[6] Atbilstoši likuma “Par tiesu varu” 91.</w:t>
      </w:r>
      <w:r w:rsidRPr="008064AF">
        <w:rPr>
          <w:rFonts w:cs="Times New Roman"/>
          <w:szCs w:val="24"/>
          <w:vertAlign w:val="superscript"/>
        </w:rPr>
        <w:t>2</w:t>
      </w:r>
      <w:r w:rsidRPr="008064AF">
        <w:rPr>
          <w:rFonts w:cs="Times New Roman"/>
          <w:szCs w:val="24"/>
        </w:rPr>
        <w:t xml:space="preserve"> pantā noteiktajām Tiesnešu ētikas komisijas funkcijām tās kompetencē neietilpst izmeklēt un izvērtēt saņemtajos dokumentos norādīto informāciju pēc būtības saistībā ar iespējamiem pārkāpumiem, kurus </w:t>
      </w:r>
      <w:r w:rsidR="0098729B">
        <w:rPr>
          <w:rFonts w:cs="Times New Roman"/>
          <w:szCs w:val="24"/>
        </w:rPr>
        <w:t>/</w:t>
      </w:r>
      <w:proofErr w:type="spellStart"/>
      <w:r w:rsidR="0098729B">
        <w:rPr>
          <w:rFonts w:cs="Times New Roman"/>
          <w:szCs w:val="24"/>
        </w:rPr>
        <w:t>pers.A</w:t>
      </w:r>
      <w:proofErr w:type="spellEnd"/>
      <w:r w:rsidR="0098729B">
        <w:rPr>
          <w:rFonts w:cs="Times New Roman"/>
          <w:szCs w:val="24"/>
        </w:rPr>
        <w:t>/</w:t>
      </w:r>
      <w:r w:rsidRPr="008064AF">
        <w:rPr>
          <w:rFonts w:cs="Times New Roman"/>
          <w:szCs w:val="24"/>
        </w:rPr>
        <w:t xml:space="preserve"> kā maksātnespējas administratore varētu būt pieļāvusi pirms stāšanās tiesneša amatā. Taču Tiesnešu ētikas komisijas kompetencē ietilpst izvērtēt iespējamos reputācijas riskus tiesneša amata atbilstībai, tostarp saistībā ar </w:t>
      </w:r>
      <w:r w:rsidRPr="008064AF">
        <w:rPr>
          <w:rFonts w:eastAsia="Arial Unicode MS" w:cs="Times New Roman"/>
          <w:kern w:val="1"/>
          <w:szCs w:val="24"/>
        </w:rPr>
        <w:t xml:space="preserve">plašsaziņas līdzekļos </w:t>
      </w:r>
      <w:r w:rsidRPr="008064AF">
        <w:rPr>
          <w:rFonts w:cs="Times New Roman"/>
          <w:szCs w:val="24"/>
        </w:rPr>
        <w:t>izskanējušo informāciju.</w:t>
      </w:r>
    </w:p>
    <w:p w14:paraId="71AEA532" w14:textId="77777777" w:rsidR="00590DD3" w:rsidRPr="008064AF" w:rsidRDefault="00590DD3" w:rsidP="00590DD3">
      <w:pPr>
        <w:spacing w:after="0" w:line="360" w:lineRule="auto"/>
        <w:ind w:firstLine="720"/>
        <w:jc w:val="both"/>
        <w:rPr>
          <w:rFonts w:cs="Times New Roman"/>
          <w:szCs w:val="24"/>
        </w:rPr>
      </w:pPr>
    </w:p>
    <w:p w14:paraId="540455F7" w14:textId="77777777" w:rsidR="00590DD3" w:rsidRPr="008064AF" w:rsidRDefault="00590DD3" w:rsidP="00590DD3">
      <w:pPr>
        <w:spacing w:after="0" w:line="360" w:lineRule="auto"/>
        <w:ind w:firstLine="720"/>
        <w:jc w:val="both"/>
        <w:rPr>
          <w:rFonts w:cs="Times New Roman"/>
          <w:szCs w:val="24"/>
        </w:rPr>
      </w:pPr>
      <w:r w:rsidRPr="008064AF">
        <w:rPr>
          <w:rFonts w:cs="Times New Roman"/>
          <w:szCs w:val="24"/>
        </w:rPr>
        <w:t xml:space="preserve">[7] Likuma “Par tiesu varu” 51.pantā reglamentētas tiesnesim izvirzāmās prasības, un viena no tām ir nevainojama reputācija. </w:t>
      </w:r>
      <w:r w:rsidRPr="008064AF">
        <w:t>No minētā panta satura izriet, ka šai prasībai ir obligāts raksturs.</w:t>
      </w:r>
    </w:p>
    <w:p w14:paraId="4562C6A9" w14:textId="77777777" w:rsidR="00590DD3" w:rsidRPr="008064AF" w:rsidRDefault="00590DD3" w:rsidP="00590DD3">
      <w:pPr>
        <w:spacing w:after="0" w:line="360" w:lineRule="auto"/>
        <w:ind w:firstLine="720"/>
        <w:jc w:val="both"/>
        <w:rPr>
          <w:rFonts w:cs="Times New Roman"/>
          <w:szCs w:val="24"/>
        </w:rPr>
      </w:pPr>
      <w:r w:rsidRPr="008064AF">
        <w:rPr>
          <w:rFonts w:cs="Times New Roman"/>
          <w:szCs w:val="24"/>
        </w:rPr>
        <w:t>Arī Tiesnešu ētikas kodeksa preambulā norādīts, ka tiesnesim ir jābūt neatkarīgam un objektīvam, ar augstu profesionālo kompetenci, morālo autoritāti, godprātīgam un ar nevainojamu reputāciju.</w:t>
      </w:r>
    </w:p>
    <w:p w14:paraId="796C2ABE" w14:textId="77777777" w:rsidR="00590DD3" w:rsidRPr="008064AF" w:rsidRDefault="00590DD3" w:rsidP="00590DD3">
      <w:pPr>
        <w:spacing w:after="0" w:line="360" w:lineRule="auto"/>
        <w:ind w:firstLine="720"/>
        <w:jc w:val="both"/>
        <w:rPr>
          <w:rFonts w:cs="Times New Roman"/>
          <w:szCs w:val="24"/>
        </w:rPr>
      </w:pPr>
      <w:r w:rsidRPr="008064AF">
        <w:rPr>
          <w:rFonts w:cs="Times New Roman"/>
          <w:szCs w:val="24"/>
        </w:rPr>
        <w:t>Ievērojot to, ka tiesnesis ir apveltīts ar plašām pilnvarām un likumā noteiktām neatkarības un imunitātes garantijām, viņa u</w:t>
      </w:r>
      <w:r w:rsidRPr="008064AF">
        <w:t xml:space="preserve">zvedībai jābūt tādai, lai tā kopumā neapdraudētu tiesu varas leģitimitāti un sabiedrības uzticēšanos tiesām. Secināms, ka nevainojamas reputācijas </w:t>
      </w:r>
      <w:r w:rsidRPr="008064AF">
        <w:rPr>
          <w:rFonts w:cs="Times New Roman"/>
          <w:szCs w:val="24"/>
        </w:rPr>
        <w:t xml:space="preserve">nepieciešamība izriet no pašas tiesneša amata būtības, turklāt šajā gadījumā piemērojami visaugstākie nevainojamas reputācijas standarti. </w:t>
      </w:r>
    </w:p>
    <w:p w14:paraId="45B0A3B3" w14:textId="77777777" w:rsidR="00590DD3" w:rsidRPr="008064AF" w:rsidRDefault="00590DD3" w:rsidP="00590DD3">
      <w:pPr>
        <w:spacing w:after="0" w:line="360" w:lineRule="auto"/>
        <w:ind w:firstLine="720"/>
        <w:jc w:val="both"/>
        <w:rPr>
          <w:rFonts w:cs="Times New Roman"/>
          <w:szCs w:val="24"/>
        </w:rPr>
      </w:pPr>
      <w:r w:rsidRPr="008064AF">
        <w:t xml:space="preserve">Ietverot likumā „Par tiesu varu” obligātu prasību pēc tiesneša nevainojamas reputācijas, likumdevējs nav sniedzis šī jēdziena definīciju. Šāda definīcija nav sniegta arī </w:t>
      </w:r>
      <w:r w:rsidRPr="008064AF">
        <w:rPr>
          <w:rFonts w:cs="Times New Roman"/>
          <w:szCs w:val="24"/>
        </w:rPr>
        <w:t>Tiesnešu ētikas kodeksā. Atklāt jēdziena “nevainojama reputācija” nozīmi palīdz tā terminoloģiskā analīze, kas rodama Latviešu konversācijas vārdnīcā un Latviešu literārās valodas vārdnīcā.</w:t>
      </w:r>
    </w:p>
    <w:p w14:paraId="2484DA6D" w14:textId="2998E531" w:rsidR="00590DD3" w:rsidRPr="008064AF" w:rsidRDefault="00590DD3" w:rsidP="00590DD3">
      <w:pPr>
        <w:spacing w:after="0" w:line="360" w:lineRule="auto"/>
        <w:ind w:firstLine="720"/>
        <w:jc w:val="both"/>
        <w:rPr>
          <w:u w:val="single"/>
        </w:rPr>
      </w:pPr>
      <w:r w:rsidRPr="008064AF">
        <w:t>Latviešu konversācijas vārdnīcā vārds „reputācija” skaidrots kā „gods, cieņa, sabiedrības domas par kādu personu, laba vai ļauna slava par kādas personas personiskām vai aroda īpašībām” (</w:t>
      </w:r>
      <w:r w:rsidRPr="008064AF">
        <w:rPr>
          <w:i/>
        </w:rPr>
        <w:t xml:space="preserve">Švābe A., </w:t>
      </w:r>
      <w:proofErr w:type="spellStart"/>
      <w:r w:rsidRPr="008064AF">
        <w:rPr>
          <w:i/>
        </w:rPr>
        <w:t>Būmanis</w:t>
      </w:r>
      <w:proofErr w:type="spellEnd"/>
      <w:r w:rsidRPr="008064AF">
        <w:rPr>
          <w:i/>
        </w:rPr>
        <w:t xml:space="preserve"> A., Dišlers K. </w:t>
      </w:r>
      <w:r w:rsidRPr="008064AF">
        <w:t>(</w:t>
      </w:r>
      <w:r w:rsidRPr="008064AF">
        <w:rPr>
          <w:i/>
        </w:rPr>
        <w:t>red.</w:t>
      </w:r>
      <w:r w:rsidRPr="008064AF">
        <w:t xml:space="preserve">) </w:t>
      </w:r>
      <w:r w:rsidRPr="008064AF">
        <w:rPr>
          <w:i/>
        </w:rPr>
        <w:t xml:space="preserve">Latviešu konversācijas vārdnīca. Rīga: </w:t>
      </w:r>
      <w:proofErr w:type="spellStart"/>
      <w:r w:rsidRPr="008064AF">
        <w:rPr>
          <w:i/>
        </w:rPr>
        <w:t>Antēra</w:t>
      </w:r>
      <w:proofErr w:type="spellEnd"/>
      <w:r w:rsidRPr="008064AF">
        <w:rPr>
          <w:i/>
        </w:rPr>
        <w:t>, 2004, 35510</w:t>
      </w:r>
      <w:r w:rsidRPr="008064AF">
        <w:t>). Latviešu literārās valodas vārdnīcā norādīts, ka reputācija ir vispārējs sabiedrības uzskats par kādu cilvēku, tā īpašībām un darbības nozīmīgumu (</w:t>
      </w:r>
      <w:r w:rsidRPr="008064AF">
        <w:rPr>
          <w:i/>
        </w:rPr>
        <w:t>Latviešu literārās valodas vārdnīca. Pieejams: http://tezaurs.lv/#/sv/reputacija</w:t>
      </w:r>
      <w:r w:rsidRPr="008064AF">
        <w:t>).</w:t>
      </w:r>
      <w:r w:rsidRPr="008064AF">
        <w:rPr>
          <w:rStyle w:val="Hipersaite"/>
          <w:color w:val="auto"/>
          <w:u w:val="none"/>
        </w:rPr>
        <w:t xml:space="preserve"> Savukārt īpašības </w:t>
      </w:r>
      <w:r w:rsidRPr="008064AF">
        <w:t xml:space="preserve">vārds „nevainojams” raksturo peronu vai lietu, kurai nepiemīt nekādi trūkumi, nekādas nosodāmas, </w:t>
      </w:r>
      <w:r w:rsidRPr="008064AF">
        <w:lastRenderedPageBreak/>
        <w:t>nevēlamas rakstura, personas īpašības</w:t>
      </w:r>
      <w:r w:rsidR="00106471">
        <w:t xml:space="preserve"> </w:t>
      </w:r>
      <w:r w:rsidRPr="008064AF">
        <w:t>(</w:t>
      </w:r>
      <w:r w:rsidRPr="008064AF">
        <w:rPr>
          <w:i/>
        </w:rPr>
        <w:t xml:space="preserve">Latviešu literārās valodas vārdnīca. Pieejams: </w:t>
      </w:r>
      <w:hyperlink r:id="rId6" w:anchor="/sv/nevainojams" w:history="1">
        <w:r w:rsidRPr="008064AF">
          <w:rPr>
            <w:rStyle w:val="Hipersaite"/>
            <w:i/>
            <w:color w:val="auto"/>
          </w:rPr>
          <w:t>http://tezaurs.lv/#/sv/nevainojams</w:t>
        </w:r>
      </w:hyperlink>
      <w:r w:rsidRPr="008064AF">
        <w:t>).</w:t>
      </w:r>
      <w:r w:rsidRPr="008064AF">
        <w:rPr>
          <w:u w:val="single"/>
        </w:rPr>
        <w:t xml:space="preserve"> </w:t>
      </w:r>
    </w:p>
    <w:p w14:paraId="17BC5D9E" w14:textId="77777777" w:rsidR="00590DD3" w:rsidRPr="008064AF" w:rsidRDefault="00590DD3" w:rsidP="00590DD3">
      <w:pPr>
        <w:spacing w:after="0" w:line="360" w:lineRule="auto"/>
        <w:ind w:firstLine="720"/>
        <w:jc w:val="both"/>
      </w:pPr>
      <w:r w:rsidRPr="008064AF">
        <w:rPr>
          <w:rFonts w:cs="Times New Roman"/>
          <w:szCs w:val="24"/>
        </w:rPr>
        <w:t>No minētā izriet, ka v</w:t>
      </w:r>
      <w:r w:rsidRPr="008064AF">
        <w:t xml:space="preserve">iens no nevainojamas reputācijas būtiskākajiem aspektiem ir sabiedrības cieņas un uzticības baudīšana. Savukārt viens no priekšnosacījumiem sabiedrības cieņas un uzticības iegūšanai ir tiesneša rīcības atbilstība likuma, ētikas un morāles normām. </w:t>
      </w:r>
    </w:p>
    <w:p w14:paraId="30603DF5" w14:textId="77777777" w:rsidR="00590DD3" w:rsidRPr="008064AF" w:rsidRDefault="00590DD3" w:rsidP="00590DD3">
      <w:pPr>
        <w:spacing w:after="0" w:line="360" w:lineRule="auto"/>
        <w:ind w:firstLine="720"/>
        <w:jc w:val="both"/>
        <w:rPr>
          <w:rFonts w:cs="Times New Roman"/>
          <w:szCs w:val="24"/>
        </w:rPr>
      </w:pPr>
      <w:r w:rsidRPr="008064AF">
        <w:rPr>
          <w:rFonts w:cs="Times New Roman"/>
          <w:szCs w:val="24"/>
        </w:rPr>
        <w:t>Tādējādi secināms, ka nevainojama reputācija ir saistāma arī ar ētikas principiem, kas definēti Tiesnešu ētikas kodeksā. Tiesnešu ētikas kodeksa 1.kanonā nostiprināts neatkarības princips un tā 1.5.punktā noteikts, ka tiesnesis ar savu stāju apliecina un veicina augstus tiesnešu ētikas standartus, lai stiprinātu sabiedrības uzticēšanos tiesu varai. 2.kanonā nostiprināts godprātības un cieņas princips.</w:t>
      </w:r>
    </w:p>
    <w:p w14:paraId="7735A562" w14:textId="16F4F6B1" w:rsidR="00590DD3" w:rsidRPr="008064AF" w:rsidRDefault="00590DD3" w:rsidP="00590DD3">
      <w:pPr>
        <w:spacing w:after="0" w:line="360" w:lineRule="auto"/>
        <w:ind w:firstLine="720"/>
        <w:jc w:val="both"/>
      </w:pPr>
      <w:r w:rsidRPr="008064AF">
        <w:rPr>
          <w:rFonts w:cs="Times New Roman"/>
          <w:szCs w:val="24"/>
        </w:rPr>
        <w:t xml:space="preserve">Saistībā ar Tiesnešu ētikas kodeksā nostiprinātajiem principiem Tiesnešu ētikas komisija vērtēs </w:t>
      </w:r>
      <w:r w:rsidR="0098729B">
        <w:rPr>
          <w:rFonts w:cs="Times New Roman"/>
          <w:szCs w:val="24"/>
        </w:rPr>
        <w:t>/</w:t>
      </w:r>
      <w:proofErr w:type="spellStart"/>
      <w:r w:rsidR="0098729B">
        <w:rPr>
          <w:rFonts w:cs="Times New Roman"/>
          <w:szCs w:val="24"/>
        </w:rPr>
        <w:t>pers.A</w:t>
      </w:r>
      <w:proofErr w:type="spellEnd"/>
      <w:r w:rsidR="0098729B">
        <w:rPr>
          <w:rFonts w:cs="Times New Roman"/>
          <w:szCs w:val="24"/>
        </w:rPr>
        <w:t>/</w:t>
      </w:r>
      <w:r w:rsidRPr="008064AF">
        <w:rPr>
          <w:rFonts w:cs="Times New Roman"/>
          <w:szCs w:val="24"/>
        </w:rPr>
        <w:t xml:space="preserve"> atbilstību tiesneša </w:t>
      </w:r>
      <w:r w:rsidR="00DF4DB1" w:rsidRPr="008064AF">
        <w:rPr>
          <w:rFonts w:cs="Times New Roman"/>
          <w:szCs w:val="24"/>
        </w:rPr>
        <w:t>amatam</w:t>
      </w:r>
      <w:r w:rsidRPr="008064AF">
        <w:rPr>
          <w:rFonts w:cs="Times New Roman"/>
          <w:szCs w:val="24"/>
        </w:rPr>
        <w:t>. N</w:t>
      </w:r>
      <w:r w:rsidRPr="008064AF">
        <w:t xml:space="preserve">o šāda aspekta vērtējams jautājums, vai informācija, kas izskanējusi plašsaziņas līdzekļos un pieejama Tiesnešu ētikas komisijai iesniegtajos materiālos par </w:t>
      </w:r>
      <w:r w:rsidR="0098729B">
        <w:t>/</w:t>
      </w:r>
      <w:proofErr w:type="spellStart"/>
      <w:r w:rsidR="0098729B">
        <w:t>pers.A</w:t>
      </w:r>
      <w:proofErr w:type="spellEnd"/>
      <w:r w:rsidR="0098729B">
        <w:t>/</w:t>
      </w:r>
      <w:r w:rsidRPr="008064AF">
        <w:t xml:space="preserve"> iespējamiem pārkāpumiem, ieņemot maksātnespējas administratores amatu, būtu atzīstama par pietiekošu, lai konstatētu viņas rīcības neatbilstību likumā noteiktajam augstajam standartam – nevainojamai reputācijai.</w:t>
      </w:r>
    </w:p>
    <w:p w14:paraId="6016A872" w14:textId="77777777" w:rsidR="00590DD3" w:rsidRPr="008064AF" w:rsidRDefault="00590DD3" w:rsidP="00590DD3">
      <w:pPr>
        <w:spacing w:after="0" w:line="360" w:lineRule="auto"/>
        <w:ind w:firstLine="720"/>
        <w:jc w:val="both"/>
        <w:rPr>
          <w:rFonts w:cs="Times New Roman"/>
          <w:szCs w:val="24"/>
        </w:rPr>
      </w:pPr>
    </w:p>
    <w:p w14:paraId="60490364" w14:textId="6622F1E2" w:rsidR="00590DD3" w:rsidRPr="008064AF" w:rsidRDefault="00590DD3" w:rsidP="00590DD3">
      <w:pPr>
        <w:spacing w:after="0" w:line="360" w:lineRule="auto"/>
        <w:ind w:firstLine="720"/>
        <w:jc w:val="both"/>
        <w:rPr>
          <w:rFonts w:cs="Times New Roman"/>
          <w:szCs w:val="24"/>
        </w:rPr>
      </w:pPr>
      <w:r w:rsidRPr="008064AF">
        <w:rPr>
          <w:rFonts w:cs="Times New Roman"/>
          <w:szCs w:val="24"/>
        </w:rPr>
        <w:t xml:space="preserve">[8] No tiesneses </w:t>
      </w:r>
      <w:r w:rsidR="0098729B">
        <w:rPr>
          <w:rFonts w:cs="Times New Roman"/>
          <w:szCs w:val="24"/>
        </w:rPr>
        <w:t>/</w:t>
      </w:r>
      <w:proofErr w:type="spellStart"/>
      <w:r w:rsidR="0098729B">
        <w:rPr>
          <w:rFonts w:cs="Times New Roman"/>
          <w:szCs w:val="24"/>
        </w:rPr>
        <w:t>pers.A</w:t>
      </w:r>
      <w:proofErr w:type="spellEnd"/>
      <w:r w:rsidR="0098729B">
        <w:rPr>
          <w:rFonts w:cs="Times New Roman"/>
          <w:szCs w:val="24"/>
        </w:rPr>
        <w:t xml:space="preserve">/ </w:t>
      </w:r>
      <w:r w:rsidRPr="008064AF">
        <w:rPr>
          <w:rFonts w:cs="Times New Roman"/>
          <w:szCs w:val="24"/>
        </w:rPr>
        <w:t>paskaidrojumiem un Tiesnešu ētikas komisijas rīcībā esošajiem dokumentiem (maksātnespējas lietas dokumentiem, tiesas nolēmumiem, Maksātnespējas kontroles dienesta vēstulēm) izriet, ka SIA “</w:t>
      </w:r>
      <w:r w:rsidR="00675E5B">
        <w:rPr>
          <w:rFonts w:cs="Times New Roman"/>
          <w:szCs w:val="24"/>
        </w:rPr>
        <w:t>/Nosaukums A/</w:t>
      </w:r>
      <w:r w:rsidRPr="008064AF">
        <w:rPr>
          <w:rFonts w:cs="Times New Roman"/>
          <w:szCs w:val="24"/>
        </w:rPr>
        <w:t xml:space="preserve">” maksātnespējas administratore </w:t>
      </w:r>
      <w:r w:rsidR="0098729B">
        <w:rPr>
          <w:sz w:val="26"/>
        </w:rPr>
        <w:t>/</w:t>
      </w:r>
      <w:proofErr w:type="spellStart"/>
      <w:r w:rsidR="0098729B">
        <w:rPr>
          <w:sz w:val="26"/>
        </w:rPr>
        <w:t>pers.A</w:t>
      </w:r>
      <w:proofErr w:type="spellEnd"/>
      <w:r w:rsidR="0098729B">
        <w:rPr>
          <w:sz w:val="26"/>
        </w:rPr>
        <w:t>/</w:t>
      </w:r>
      <w:r w:rsidR="0098729B" w:rsidRPr="008064AF">
        <w:rPr>
          <w:rFonts w:cs="Times New Roman"/>
          <w:szCs w:val="24"/>
        </w:rPr>
        <w:t xml:space="preserve"> </w:t>
      </w:r>
      <w:r w:rsidRPr="008064AF">
        <w:rPr>
          <w:rFonts w:cs="Times New Roman"/>
          <w:szCs w:val="24"/>
        </w:rPr>
        <w:t>Parādnieka maksātnespējas procesā iecelta atbilstoši Civilprocesa likuma 363.</w:t>
      </w:r>
      <w:r w:rsidRPr="008064AF">
        <w:rPr>
          <w:rFonts w:cs="Times New Roman"/>
          <w:szCs w:val="24"/>
          <w:vertAlign w:val="superscript"/>
        </w:rPr>
        <w:t>10</w:t>
      </w:r>
      <w:r w:rsidRPr="008064AF">
        <w:rPr>
          <w:rFonts w:cs="Times New Roman"/>
          <w:szCs w:val="24"/>
        </w:rPr>
        <w:t xml:space="preserve"> pantā noteiktajai kārtībai, nekonstatējot ierobežojumus, netipiskas darbības vai atkāpes no normatīvajos aktos noteiktās procedūras. Maksātnespējas kontroles dienestā saņemtās sūdzības par </w:t>
      </w:r>
      <w:r w:rsidR="0098729B">
        <w:rPr>
          <w:rFonts w:cs="Times New Roman"/>
          <w:szCs w:val="24"/>
        </w:rPr>
        <w:t>/</w:t>
      </w:r>
      <w:proofErr w:type="spellStart"/>
      <w:r w:rsidR="0098729B">
        <w:rPr>
          <w:rFonts w:cs="Times New Roman"/>
          <w:szCs w:val="24"/>
        </w:rPr>
        <w:t>pers.A</w:t>
      </w:r>
      <w:proofErr w:type="spellEnd"/>
      <w:r w:rsidR="0098729B">
        <w:rPr>
          <w:rFonts w:cs="Times New Roman"/>
          <w:szCs w:val="24"/>
        </w:rPr>
        <w:t>/</w:t>
      </w:r>
      <w:r w:rsidRPr="008064AF">
        <w:rPr>
          <w:rFonts w:cs="Times New Roman"/>
          <w:szCs w:val="24"/>
        </w:rPr>
        <w:t xml:space="preserve"> rīcību maksātnespējas procesā ar lēmumiem ir noraidītas kā nepamatotas, lēmumi stājušies spēkā. </w:t>
      </w:r>
      <w:r w:rsidR="00DF4DB1" w:rsidRPr="008064AF">
        <w:rPr>
          <w:rFonts w:cs="Times New Roman"/>
          <w:szCs w:val="24"/>
        </w:rPr>
        <w:t>Tiesā</w:t>
      </w:r>
      <w:r w:rsidR="00366EDB" w:rsidRPr="008064AF">
        <w:rPr>
          <w:rFonts w:cs="Times New Roman"/>
          <w:szCs w:val="24"/>
        </w:rPr>
        <w:t xml:space="preserve"> </w:t>
      </w:r>
      <w:r w:rsidR="002F76AC" w:rsidRPr="008064AF">
        <w:rPr>
          <w:rFonts w:cs="Times New Roman"/>
          <w:szCs w:val="24"/>
        </w:rPr>
        <w:t xml:space="preserve">izskatītās kreditoru sūdzības par </w:t>
      </w:r>
      <w:r w:rsidR="002F76AC" w:rsidRPr="008064AF">
        <w:t>maksātnespējas administratores lēmumiem</w:t>
      </w:r>
      <w:r w:rsidR="00366EDB" w:rsidRPr="008064AF">
        <w:t xml:space="preserve">, nekonstatējot pārkāpumus administratores rīcībā, </w:t>
      </w:r>
      <w:r w:rsidR="002F76AC" w:rsidRPr="008064AF">
        <w:t xml:space="preserve"> arī noraidītas kā nepamatotas</w:t>
      </w:r>
      <w:r w:rsidR="00366EDB" w:rsidRPr="008064AF">
        <w:t xml:space="preserve">, </w:t>
      </w:r>
      <w:r w:rsidR="002F76AC" w:rsidRPr="008064AF">
        <w:t xml:space="preserve">un </w:t>
      </w:r>
      <w:r w:rsidR="00366EDB" w:rsidRPr="008064AF">
        <w:rPr>
          <w:rFonts w:cs="Times New Roman"/>
          <w:szCs w:val="24"/>
        </w:rPr>
        <w:t>pilnībā</w:t>
      </w:r>
      <w:r w:rsidR="00366EDB" w:rsidRPr="008064AF">
        <w:t xml:space="preserve"> </w:t>
      </w:r>
      <w:r w:rsidR="00366EDB" w:rsidRPr="008064AF">
        <w:rPr>
          <w:rFonts w:cs="Times New Roman"/>
          <w:szCs w:val="24"/>
        </w:rPr>
        <w:t>noraidītas</w:t>
      </w:r>
      <w:r w:rsidR="00366EDB" w:rsidRPr="008064AF">
        <w:t xml:space="preserve"> </w:t>
      </w:r>
      <w:r w:rsidR="002F76AC" w:rsidRPr="008064AF">
        <w:t xml:space="preserve">kreditoru </w:t>
      </w:r>
      <w:r w:rsidR="00366EDB" w:rsidRPr="008064AF">
        <w:t>(UAB “</w:t>
      </w:r>
      <w:r w:rsidR="0098729B">
        <w:t>/Nosaukums B/</w:t>
      </w:r>
      <w:r w:rsidR="00366EDB" w:rsidRPr="008064AF">
        <w:t>”</w:t>
      </w:r>
      <w:r w:rsidR="00C6138F" w:rsidRPr="008064AF">
        <w:t xml:space="preserve">, </w:t>
      </w:r>
      <w:r w:rsidR="00366EDB" w:rsidRPr="008064AF">
        <w:t>UAB “</w:t>
      </w:r>
      <w:r w:rsidR="0098729B">
        <w:t>/Nosaukums C/</w:t>
      </w:r>
      <w:r w:rsidR="00366EDB" w:rsidRPr="008064AF">
        <w:t>”</w:t>
      </w:r>
      <w:r w:rsidR="00C6138F" w:rsidRPr="008064AF">
        <w:t xml:space="preserve"> un SIA “</w:t>
      </w:r>
      <w:r w:rsidR="0098729B">
        <w:t>/Nosaukums D/</w:t>
      </w:r>
      <w:r w:rsidR="00C6138F" w:rsidRPr="008064AF">
        <w:t>”</w:t>
      </w:r>
      <w:r w:rsidR="00366EDB" w:rsidRPr="008064AF">
        <w:t xml:space="preserve">) </w:t>
      </w:r>
      <w:r w:rsidR="002F76AC" w:rsidRPr="008064AF">
        <w:t>prasības pret maksātnespējīgo SIA “</w:t>
      </w:r>
      <w:r w:rsidR="00675E5B">
        <w:t>/Nosaukums A/</w:t>
      </w:r>
      <w:r w:rsidR="002F76AC" w:rsidRPr="008064AF">
        <w:t xml:space="preserve">” par kreditoru </w:t>
      </w:r>
      <w:r w:rsidR="002F76AC" w:rsidRPr="008064AF">
        <w:rPr>
          <w:rFonts w:cs="Times New Roman"/>
          <w:szCs w:val="24"/>
        </w:rPr>
        <w:t xml:space="preserve">prasījuma atzīšanu. </w:t>
      </w:r>
      <w:r w:rsidRPr="008064AF">
        <w:rPr>
          <w:rFonts w:cs="Times New Roman"/>
          <w:szCs w:val="24"/>
        </w:rPr>
        <w:t xml:space="preserve">Tādējādi </w:t>
      </w:r>
      <w:r w:rsidR="002205D5">
        <w:rPr>
          <w:rFonts w:cs="Times New Roman"/>
          <w:szCs w:val="24"/>
        </w:rPr>
        <w:t>secināms</w:t>
      </w:r>
      <w:r w:rsidRPr="008064AF">
        <w:rPr>
          <w:rFonts w:cs="Times New Roman"/>
          <w:szCs w:val="24"/>
        </w:rPr>
        <w:t>, ka administratore rīkojusies saskaņā ar Maksātnespējas likuma normām.</w:t>
      </w:r>
    </w:p>
    <w:p w14:paraId="146AA498" w14:textId="33C0FF15" w:rsidR="00B318FC" w:rsidRPr="008064AF" w:rsidRDefault="007E4290" w:rsidP="007E4290">
      <w:pPr>
        <w:spacing w:after="0" w:line="360" w:lineRule="auto"/>
        <w:ind w:firstLine="720"/>
        <w:jc w:val="both"/>
        <w:rPr>
          <w:rFonts w:eastAsia="Arial Unicode MS" w:cs="Times New Roman"/>
          <w:kern w:val="1"/>
          <w:szCs w:val="24"/>
        </w:rPr>
      </w:pPr>
      <w:r w:rsidRPr="008064AF">
        <w:rPr>
          <w:rFonts w:cs="Times New Roman"/>
          <w:szCs w:val="24"/>
        </w:rPr>
        <w:t xml:space="preserve">Savukārt </w:t>
      </w:r>
      <w:bookmarkStart w:id="5" w:name="_Hlk70260560"/>
      <w:r w:rsidRPr="008064AF">
        <w:rPr>
          <w:rFonts w:eastAsia="Arial Unicode MS" w:cs="Times New Roman"/>
          <w:kern w:val="1"/>
          <w:szCs w:val="24"/>
        </w:rPr>
        <w:t xml:space="preserve">Finanšu izlūkošanas </w:t>
      </w:r>
      <w:bookmarkEnd w:id="5"/>
      <w:r w:rsidRPr="008064AF">
        <w:rPr>
          <w:rFonts w:eastAsia="Arial Unicode MS" w:cs="Times New Roman"/>
          <w:kern w:val="1"/>
          <w:szCs w:val="24"/>
        </w:rPr>
        <w:t>dienesta 2017.gada 26.aprīļa ziņojumā norādītas tā rīcībā esošas ziņas un versijas par iespējami notikušu pievienotās vērtības nodokļa krāpšanas shēmu un tajā iesaistītajām personām ar lūgumu Valsts policijai pārbaudīt, izskatīt un noskaidrot ziņojumā norādīto informāciju.</w:t>
      </w:r>
      <w:r w:rsidR="002205D5">
        <w:rPr>
          <w:rFonts w:eastAsia="Arial Unicode MS" w:cs="Times New Roman"/>
          <w:kern w:val="1"/>
          <w:szCs w:val="24"/>
        </w:rPr>
        <w:t xml:space="preserve"> </w:t>
      </w:r>
      <w:r w:rsidR="002205D5" w:rsidRPr="00EF326A">
        <w:rPr>
          <w:rFonts w:eastAsia="Arial Unicode MS" w:cs="Times New Roman"/>
          <w:kern w:val="1"/>
          <w:szCs w:val="24"/>
        </w:rPr>
        <w:t>Ņemot vērā Tiesnešu ētikas komisijas rīcībā esošo</w:t>
      </w:r>
      <w:r w:rsidR="00EF326A" w:rsidRPr="00EF326A">
        <w:rPr>
          <w:rFonts w:eastAsia="Arial Unicode MS" w:cs="Times New Roman"/>
          <w:kern w:val="1"/>
          <w:szCs w:val="24"/>
        </w:rPr>
        <w:t xml:space="preserve"> informāciju no</w:t>
      </w:r>
      <w:r w:rsidR="002205D5" w:rsidRPr="00EF326A">
        <w:rPr>
          <w:rFonts w:eastAsia="Arial Unicode MS" w:cs="Times New Roman"/>
          <w:kern w:val="1"/>
          <w:szCs w:val="24"/>
        </w:rPr>
        <w:t xml:space="preserve"> tiesu nolēmum</w:t>
      </w:r>
      <w:r w:rsidR="00EF326A" w:rsidRPr="00EF326A">
        <w:rPr>
          <w:rFonts w:eastAsia="Arial Unicode MS" w:cs="Times New Roman"/>
          <w:kern w:val="1"/>
          <w:szCs w:val="24"/>
        </w:rPr>
        <w:t>iem</w:t>
      </w:r>
      <w:r w:rsidR="002205D5" w:rsidRPr="00EF326A">
        <w:rPr>
          <w:rFonts w:eastAsia="Arial Unicode MS" w:cs="Times New Roman"/>
          <w:kern w:val="1"/>
          <w:szCs w:val="24"/>
        </w:rPr>
        <w:t xml:space="preserve"> par atsevišķu uzņēmumu darījumiem un norēķiniem ar SIA “</w:t>
      </w:r>
      <w:r w:rsidR="00675E5B">
        <w:rPr>
          <w:rFonts w:eastAsia="Arial Unicode MS" w:cs="Times New Roman"/>
          <w:kern w:val="1"/>
          <w:szCs w:val="24"/>
        </w:rPr>
        <w:t xml:space="preserve">/Nosaukums </w:t>
      </w:r>
      <w:r w:rsidR="00675E5B">
        <w:rPr>
          <w:rFonts w:eastAsia="Arial Unicode MS" w:cs="Times New Roman"/>
          <w:kern w:val="1"/>
          <w:szCs w:val="24"/>
        </w:rPr>
        <w:lastRenderedPageBreak/>
        <w:t>A/</w:t>
      </w:r>
      <w:r w:rsidR="002205D5" w:rsidRPr="00EF326A">
        <w:rPr>
          <w:rFonts w:eastAsia="Arial Unicode MS" w:cs="Times New Roman"/>
          <w:kern w:val="1"/>
          <w:szCs w:val="24"/>
        </w:rPr>
        <w:t xml:space="preserve">”, secināms, ka </w:t>
      </w:r>
      <w:r w:rsidRPr="00EF326A">
        <w:rPr>
          <w:rFonts w:eastAsia="Arial Unicode MS" w:cs="Times New Roman"/>
          <w:kern w:val="1"/>
          <w:szCs w:val="24"/>
        </w:rPr>
        <w:t xml:space="preserve">Finanšu izlūkošanas dienesta rīcībā </w:t>
      </w:r>
      <w:r w:rsidR="002205D5" w:rsidRPr="00EF326A">
        <w:rPr>
          <w:rFonts w:eastAsia="Arial Unicode MS" w:cs="Times New Roman"/>
          <w:kern w:val="1"/>
          <w:szCs w:val="24"/>
        </w:rPr>
        <w:t xml:space="preserve">informācija nav </w:t>
      </w:r>
      <w:r w:rsidRPr="00EF326A">
        <w:rPr>
          <w:rFonts w:eastAsia="Arial Unicode MS" w:cs="Times New Roman"/>
          <w:kern w:val="1"/>
          <w:szCs w:val="24"/>
        </w:rPr>
        <w:t>bijusi pilnīga</w:t>
      </w:r>
      <w:r w:rsidR="002205D5" w:rsidRPr="00EF326A">
        <w:rPr>
          <w:rFonts w:eastAsia="Arial Unicode MS" w:cs="Times New Roman"/>
          <w:kern w:val="1"/>
          <w:szCs w:val="24"/>
        </w:rPr>
        <w:t>.</w:t>
      </w:r>
      <w:r w:rsidR="00B318FC" w:rsidRPr="00EF326A">
        <w:rPr>
          <w:rFonts w:eastAsia="Arial Unicode MS" w:cs="Times New Roman"/>
          <w:kern w:val="1"/>
          <w:szCs w:val="24"/>
        </w:rPr>
        <w:t xml:space="preserve"> Turklāt </w:t>
      </w:r>
      <w:r w:rsidR="00B318FC" w:rsidRPr="008064AF">
        <w:rPr>
          <w:rFonts w:eastAsia="Arial Unicode MS" w:cs="Times New Roman"/>
          <w:kern w:val="1"/>
          <w:szCs w:val="24"/>
        </w:rPr>
        <w:t>no Tiesnešu ētikas komisijai iesniegtajiem dokumentiem</w:t>
      </w:r>
      <w:r w:rsidRPr="008064AF">
        <w:rPr>
          <w:rFonts w:eastAsia="Arial Unicode MS" w:cs="Times New Roman"/>
          <w:kern w:val="1"/>
          <w:szCs w:val="24"/>
        </w:rPr>
        <w:t xml:space="preserve"> neizriet, ka </w:t>
      </w:r>
      <w:r w:rsidR="0098729B">
        <w:rPr>
          <w:rFonts w:cs="Times New Roman"/>
          <w:szCs w:val="24"/>
        </w:rPr>
        <w:t>/</w:t>
      </w:r>
      <w:proofErr w:type="spellStart"/>
      <w:r w:rsidR="0098729B">
        <w:rPr>
          <w:rFonts w:cs="Times New Roman"/>
          <w:szCs w:val="24"/>
        </w:rPr>
        <w:t>pers.A</w:t>
      </w:r>
      <w:proofErr w:type="spellEnd"/>
      <w:r w:rsidR="0098729B">
        <w:rPr>
          <w:rFonts w:cs="Times New Roman"/>
          <w:szCs w:val="24"/>
        </w:rPr>
        <w:t xml:space="preserve">/ </w:t>
      </w:r>
      <w:r w:rsidRPr="008064AF">
        <w:rPr>
          <w:rFonts w:eastAsia="Arial Unicode MS" w:cs="Times New Roman"/>
          <w:kern w:val="1"/>
          <w:szCs w:val="24"/>
        </w:rPr>
        <w:t xml:space="preserve">kādā kriminālprocesā būtu noteikts kriminālprocesā iesaistītas personas statuss. </w:t>
      </w:r>
    </w:p>
    <w:p w14:paraId="54B7AE32" w14:textId="22C794EF" w:rsidR="00590DD3" w:rsidRPr="008064AF" w:rsidRDefault="00590DD3" w:rsidP="00590DD3">
      <w:pPr>
        <w:tabs>
          <w:tab w:val="left" w:pos="4536"/>
        </w:tabs>
        <w:spacing w:after="0" w:line="360" w:lineRule="auto"/>
        <w:ind w:firstLine="720"/>
        <w:jc w:val="both"/>
        <w:rPr>
          <w:rFonts w:eastAsia="Arial Unicode MS" w:cs="Times New Roman"/>
          <w:kern w:val="1"/>
          <w:szCs w:val="24"/>
        </w:rPr>
      </w:pPr>
      <w:r w:rsidRPr="008064AF">
        <w:rPr>
          <w:rFonts w:eastAsia="Arial Unicode MS" w:cs="Times New Roman"/>
          <w:kern w:val="1"/>
          <w:szCs w:val="24"/>
        </w:rPr>
        <w:t>TV3 raidījumā “Nekā personīga” 2021.gada 14. un 28.mart</w:t>
      </w:r>
      <w:r w:rsidR="00976BDE" w:rsidRPr="008064AF">
        <w:rPr>
          <w:rFonts w:eastAsia="Arial Unicode MS" w:cs="Times New Roman"/>
          <w:kern w:val="1"/>
          <w:szCs w:val="24"/>
        </w:rPr>
        <w:t>ā pausts</w:t>
      </w:r>
      <w:r w:rsidRPr="008064AF">
        <w:rPr>
          <w:rFonts w:eastAsia="Arial Unicode MS" w:cs="Times New Roman"/>
          <w:kern w:val="1"/>
          <w:szCs w:val="24"/>
        </w:rPr>
        <w:t xml:space="preserve"> viedokli</w:t>
      </w:r>
      <w:r w:rsidR="00976BDE" w:rsidRPr="008064AF">
        <w:rPr>
          <w:rFonts w:eastAsia="Arial Unicode MS" w:cs="Times New Roman"/>
          <w:kern w:val="1"/>
          <w:szCs w:val="24"/>
        </w:rPr>
        <w:t>s</w:t>
      </w:r>
      <w:r w:rsidRPr="008064AF">
        <w:rPr>
          <w:rFonts w:eastAsia="Arial Unicode MS" w:cs="Times New Roman"/>
          <w:kern w:val="1"/>
          <w:szCs w:val="24"/>
        </w:rPr>
        <w:t xml:space="preserve"> par nesen tiesne</w:t>
      </w:r>
      <w:r w:rsidR="00976BDE" w:rsidRPr="008064AF">
        <w:rPr>
          <w:rFonts w:eastAsia="Arial Unicode MS" w:cs="Times New Roman"/>
          <w:kern w:val="1"/>
          <w:szCs w:val="24"/>
        </w:rPr>
        <w:t>ša</w:t>
      </w:r>
      <w:r w:rsidRPr="008064AF">
        <w:rPr>
          <w:rFonts w:eastAsia="Arial Unicode MS" w:cs="Times New Roman"/>
          <w:kern w:val="1"/>
          <w:szCs w:val="24"/>
        </w:rPr>
        <w:t xml:space="preserve"> amatā ieceltās </w:t>
      </w:r>
      <w:r w:rsidR="0098729B">
        <w:rPr>
          <w:rFonts w:cs="Times New Roman"/>
          <w:szCs w:val="24"/>
        </w:rPr>
        <w:t>/</w:t>
      </w:r>
      <w:proofErr w:type="spellStart"/>
      <w:r w:rsidR="0098729B">
        <w:rPr>
          <w:rFonts w:cs="Times New Roman"/>
          <w:szCs w:val="24"/>
        </w:rPr>
        <w:t>pers.A</w:t>
      </w:r>
      <w:proofErr w:type="spellEnd"/>
      <w:r w:rsidR="0098729B">
        <w:rPr>
          <w:rFonts w:cs="Times New Roman"/>
          <w:szCs w:val="24"/>
        </w:rPr>
        <w:t xml:space="preserve">/ </w:t>
      </w:r>
      <w:r w:rsidRPr="008064AF">
        <w:rPr>
          <w:rFonts w:eastAsia="Arial Unicode MS" w:cs="Times New Roman"/>
          <w:kern w:val="1"/>
          <w:szCs w:val="24"/>
        </w:rPr>
        <w:t>apzinātu piedalīšanos</w:t>
      </w:r>
      <w:r w:rsidR="00976BDE" w:rsidRPr="008064AF">
        <w:rPr>
          <w:rFonts w:eastAsia="Arial Unicode MS" w:cs="Times New Roman"/>
          <w:kern w:val="1"/>
          <w:szCs w:val="24"/>
        </w:rPr>
        <w:t xml:space="preserve"> pievienotās vērtības nodokļa </w:t>
      </w:r>
      <w:r w:rsidRPr="008064AF">
        <w:rPr>
          <w:rFonts w:eastAsia="Arial Unicode MS" w:cs="Times New Roman"/>
          <w:kern w:val="1"/>
          <w:szCs w:val="24"/>
        </w:rPr>
        <w:t>shēmās SIA “</w:t>
      </w:r>
      <w:r w:rsidR="00675E5B">
        <w:rPr>
          <w:rFonts w:eastAsia="Arial Unicode MS" w:cs="Times New Roman"/>
          <w:kern w:val="1"/>
          <w:szCs w:val="24"/>
        </w:rPr>
        <w:t>/Nosaukums A/</w:t>
      </w:r>
      <w:r w:rsidRPr="008064AF">
        <w:rPr>
          <w:rFonts w:eastAsia="Arial Unicode MS" w:cs="Times New Roman"/>
          <w:kern w:val="1"/>
          <w:szCs w:val="24"/>
        </w:rPr>
        <w:t>” maksātnespējas procesā un par “shēmotājiem” izdevīgu lēmumu pieņemšanu, kreditoru sarakstā iekļaujot vairākus fiktīvus uzņēmumus. Raidījumu gaitā šādu faktu apstiprinājums balstīts uz SIA “</w:t>
      </w:r>
      <w:r w:rsidR="00675E5B">
        <w:rPr>
          <w:rFonts w:eastAsia="Arial Unicode MS" w:cs="Times New Roman"/>
          <w:kern w:val="1"/>
          <w:szCs w:val="24"/>
        </w:rPr>
        <w:t>/Nosaukums A/</w:t>
      </w:r>
      <w:r w:rsidRPr="008064AF">
        <w:rPr>
          <w:rFonts w:eastAsia="Arial Unicode MS" w:cs="Times New Roman"/>
          <w:kern w:val="1"/>
          <w:szCs w:val="24"/>
        </w:rPr>
        <w:t xml:space="preserve">” pārstāvja </w:t>
      </w:r>
      <w:r w:rsidR="0098729B">
        <w:rPr>
          <w:rFonts w:cs="Times New Roman"/>
          <w:szCs w:val="24"/>
        </w:rPr>
        <w:t>/</w:t>
      </w:r>
      <w:proofErr w:type="spellStart"/>
      <w:r w:rsidR="0098729B">
        <w:rPr>
          <w:rFonts w:cs="Times New Roman"/>
          <w:szCs w:val="24"/>
        </w:rPr>
        <w:t>pers.B</w:t>
      </w:r>
      <w:proofErr w:type="spellEnd"/>
      <w:r w:rsidR="0098729B">
        <w:rPr>
          <w:rFonts w:cs="Times New Roman"/>
          <w:szCs w:val="24"/>
        </w:rPr>
        <w:t xml:space="preserve">/ </w:t>
      </w:r>
      <w:r w:rsidRPr="008064AF">
        <w:rPr>
          <w:rFonts w:eastAsia="Arial Unicode MS" w:cs="Times New Roman"/>
          <w:kern w:val="1"/>
          <w:szCs w:val="24"/>
        </w:rPr>
        <w:t xml:space="preserve">sniegto interviju par </w:t>
      </w:r>
      <w:r w:rsidR="00976BDE" w:rsidRPr="008064AF">
        <w:rPr>
          <w:rFonts w:eastAsia="Arial Unicode MS" w:cs="Times New Roman"/>
          <w:kern w:val="1"/>
          <w:szCs w:val="24"/>
        </w:rPr>
        <w:t xml:space="preserve">pievienotās vērtības nodokļa </w:t>
      </w:r>
      <w:r w:rsidRPr="008064AF">
        <w:rPr>
          <w:rFonts w:eastAsia="Arial Unicode MS" w:cs="Times New Roman"/>
          <w:kern w:val="1"/>
          <w:szCs w:val="24"/>
        </w:rPr>
        <w:t xml:space="preserve">krāpšanas shēmām un viņa saistību tajās, kā arī Finanšu izlūkošanas dienesta ziņojumā atklātajām aizdomām par amatā ieceltās tiesneses saistību ar </w:t>
      </w:r>
      <w:r w:rsidR="00976BDE" w:rsidRPr="008064AF">
        <w:rPr>
          <w:rFonts w:eastAsia="Arial Unicode MS" w:cs="Times New Roman"/>
          <w:kern w:val="1"/>
          <w:szCs w:val="24"/>
        </w:rPr>
        <w:t xml:space="preserve">pievienotās vērtības nodokļa </w:t>
      </w:r>
      <w:r w:rsidRPr="008064AF">
        <w:rPr>
          <w:rFonts w:eastAsia="Arial Unicode MS" w:cs="Times New Roman"/>
          <w:kern w:val="1"/>
          <w:szCs w:val="24"/>
        </w:rPr>
        <w:t xml:space="preserve">krāpniekiem. </w:t>
      </w:r>
    </w:p>
    <w:p w14:paraId="25A298CB" w14:textId="71FEC64D" w:rsidR="00590DD3" w:rsidRPr="008064AF" w:rsidRDefault="00590DD3" w:rsidP="00590DD3">
      <w:pPr>
        <w:tabs>
          <w:tab w:val="left" w:pos="4536"/>
        </w:tabs>
        <w:spacing w:after="0" w:line="360" w:lineRule="auto"/>
        <w:ind w:firstLine="720"/>
        <w:jc w:val="both"/>
        <w:rPr>
          <w:rFonts w:eastAsia="Arial Unicode MS" w:cs="Times New Roman"/>
          <w:kern w:val="1"/>
          <w:szCs w:val="24"/>
        </w:rPr>
      </w:pPr>
      <w:r w:rsidRPr="008064AF">
        <w:rPr>
          <w:rFonts w:eastAsia="Arial Unicode MS" w:cs="Times New Roman"/>
          <w:kern w:val="1"/>
          <w:szCs w:val="24"/>
        </w:rPr>
        <w:t xml:space="preserve">Tiesnešu ētikas komisija konstatē, ka šāds raidījumu vadītāju paustais viedoklis neapstiprinās ar </w:t>
      </w:r>
      <w:r w:rsidR="00976BDE" w:rsidRPr="008064AF">
        <w:rPr>
          <w:rFonts w:eastAsia="Arial Unicode MS" w:cs="Times New Roman"/>
          <w:kern w:val="1"/>
          <w:szCs w:val="24"/>
        </w:rPr>
        <w:t xml:space="preserve">tiesas nolēmumiem un </w:t>
      </w:r>
      <w:r w:rsidRPr="008064AF">
        <w:rPr>
          <w:rFonts w:eastAsia="Arial Unicode MS" w:cs="Times New Roman"/>
          <w:kern w:val="1"/>
          <w:szCs w:val="24"/>
        </w:rPr>
        <w:t>iepriekš atzinumā analizēt</w:t>
      </w:r>
      <w:r w:rsidR="00976BDE" w:rsidRPr="008064AF">
        <w:rPr>
          <w:rFonts w:eastAsia="Arial Unicode MS" w:cs="Times New Roman"/>
          <w:kern w:val="1"/>
          <w:szCs w:val="24"/>
        </w:rPr>
        <w:t>o</w:t>
      </w:r>
      <w:r w:rsidRPr="008064AF">
        <w:rPr>
          <w:rFonts w:eastAsia="Arial Unicode MS" w:cs="Times New Roman"/>
          <w:kern w:val="1"/>
          <w:szCs w:val="24"/>
        </w:rPr>
        <w:t xml:space="preserve"> Finanšu izlūkošanas dienesta ziņojuma saturu. No </w:t>
      </w:r>
      <w:r w:rsidR="0098729B">
        <w:rPr>
          <w:rFonts w:cs="Times New Roman"/>
          <w:szCs w:val="24"/>
        </w:rPr>
        <w:t>/</w:t>
      </w:r>
      <w:proofErr w:type="spellStart"/>
      <w:r w:rsidR="0098729B">
        <w:rPr>
          <w:rFonts w:cs="Times New Roman"/>
          <w:szCs w:val="24"/>
        </w:rPr>
        <w:t>pers.B</w:t>
      </w:r>
      <w:proofErr w:type="spellEnd"/>
      <w:r w:rsidR="0098729B">
        <w:rPr>
          <w:rFonts w:cs="Times New Roman"/>
          <w:szCs w:val="24"/>
        </w:rPr>
        <w:t xml:space="preserve">/ </w:t>
      </w:r>
      <w:r w:rsidRPr="008064AF">
        <w:rPr>
          <w:rFonts w:eastAsia="Arial Unicode MS" w:cs="Times New Roman"/>
          <w:kern w:val="1"/>
          <w:szCs w:val="24"/>
        </w:rPr>
        <w:t xml:space="preserve">sniegtās informācijas raidījumā arī neizriet ziņas par </w:t>
      </w:r>
      <w:r w:rsidR="0098729B">
        <w:rPr>
          <w:rFonts w:cs="Times New Roman"/>
          <w:szCs w:val="24"/>
        </w:rPr>
        <w:t>/</w:t>
      </w:r>
      <w:proofErr w:type="spellStart"/>
      <w:r w:rsidR="0098729B">
        <w:rPr>
          <w:rFonts w:cs="Times New Roman"/>
          <w:szCs w:val="24"/>
        </w:rPr>
        <w:t>pers.A</w:t>
      </w:r>
      <w:proofErr w:type="spellEnd"/>
      <w:r w:rsidR="0098729B">
        <w:rPr>
          <w:rFonts w:cs="Times New Roman"/>
          <w:szCs w:val="24"/>
        </w:rPr>
        <w:t xml:space="preserve">/ </w:t>
      </w:r>
      <w:r w:rsidRPr="008064AF">
        <w:rPr>
          <w:rFonts w:eastAsia="Arial Unicode MS" w:cs="Times New Roman"/>
          <w:kern w:val="1"/>
          <w:szCs w:val="24"/>
        </w:rPr>
        <w:t xml:space="preserve">iespējamu saistību ar notikušo krāpniecības shēmu. Savukārt raidījumu vadītāju apgalvojums par </w:t>
      </w:r>
      <w:r w:rsidR="0098729B">
        <w:rPr>
          <w:rFonts w:cs="Times New Roman"/>
          <w:szCs w:val="24"/>
        </w:rPr>
        <w:t>/</w:t>
      </w:r>
      <w:proofErr w:type="spellStart"/>
      <w:r w:rsidR="0098729B">
        <w:rPr>
          <w:rFonts w:cs="Times New Roman"/>
          <w:szCs w:val="24"/>
        </w:rPr>
        <w:t>pers.A</w:t>
      </w:r>
      <w:proofErr w:type="spellEnd"/>
      <w:r w:rsidR="0098729B">
        <w:rPr>
          <w:rFonts w:cs="Times New Roman"/>
          <w:szCs w:val="24"/>
        </w:rPr>
        <w:t xml:space="preserve">/ </w:t>
      </w:r>
      <w:r w:rsidRPr="008064AF">
        <w:rPr>
          <w:rFonts w:eastAsia="Arial Unicode MS" w:cs="Times New Roman"/>
          <w:kern w:val="1"/>
          <w:szCs w:val="24"/>
        </w:rPr>
        <w:t xml:space="preserve">pienākumu 2017.gadā informēt tiesībsargājošās iestādes par noziedzīgu nodarījumu nav pamatots, jo maksātnespējas administratori kā tiesību subjekti ar pienākumu sniegt šādu informāciju Legalizācijas novēršanas likuma iekļauti tikai no 2020.gada 1.janvāra. </w:t>
      </w:r>
    </w:p>
    <w:p w14:paraId="69CC7B69" w14:textId="33BBF477" w:rsidR="00590DD3" w:rsidRPr="008064AF" w:rsidRDefault="007801B5" w:rsidP="007801B5">
      <w:pPr>
        <w:tabs>
          <w:tab w:val="left" w:pos="4536"/>
        </w:tabs>
        <w:spacing w:after="0" w:line="360" w:lineRule="auto"/>
        <w:ind w:firstLine="720"/>
        <w:jc w:val="both"/>
        <w:rPr>
          <w:rFonts w:eastAsia="Arial Unicode MS" w:cs="Times New Roman"/>
          <w:kern w:val="1"/>
          <w:szCs w:val="24"/>
        </w:rPr>
      </w:pPr>
      <w:r w:rsidRPr="008064AF">
        <w:rPr>
          <w:rFonts w:eastAsia="Arial Unicode MS" w:cs="Times New Roman"/>
          <w:kern w:val="1"/>
          <w:szCs w:val="24"/>
        </w:rPr>
        <w:t xml:space="preserve">Vienlaikus Tiesnešu ētikas komisija atzīst, ka arī, pirms likumā tika noteikts attiecīgs juridisks pienākums, maksātnespējas administratoriem bija morāls pienākums informēt tiesībsargājošās iestādes par personu prettiesisku rīcību, ja tam bija pietiekams pamats. Tomēr, apsverot komisijas rīcībā esošo informāciju, komisija piekrīt </w:t>
      </w:r>
      <w:r w:rsidR="0098729B">
        <w:rPr>
          <w:rFonts w:cs="Times New Roman"/>
          <w:szCs w:val="24"/>
        </w:rPr>
        <w:t>/</w:t>
      </w:r>
      <w:proofErr w:type="spellStart"/>
      <w:r w:rsidR="0098729B">
        <w:rPr>
          <w:rFonts w:cs="Times New Roman"/>
          <w:szCs w:val="24"/>
        </w:rPr>
        <w:t>pers.A</w:t>
      </w:r>
      <w:proofErr w:type="spellEnd"/>
      <w:r w:rsidR="0098729B">
        <w:rPr>
          <w:rFonts w:cs="Times New Roman"/>
          <w:szCs w:val="24"/>
        </w:rPr>
        <w:t>/</w:t>
      </w:r>
      <w:r w:rsidRPr="008064AF">
        <w:rPr>
          <w:rFonts w:eastAsia="Arial Unicode MS" w:cs="Times New Roman"/>
          <w:kern w:val="1"/>
          <w:szCs w:val="24"/>
        </w:rPr>
        <w:t xml:space="preserve">, ka konkrētajā gadījumā viņas rīcībā nebija pietiekamu faktu, par kuriem kā iespējami kriminālprocesā pārbaudāmiem viņa varētu ziņot tiesībsargājošām iestādēm. Konkrētajos apstākļos bija pamatoti </w:t>
      </w:r>
      <w:r w:rsidR="0098729B">
        <w:rPr>
          <w:rFonts w:cs="Times New Roman"/>
          <w:szCs w:val="24"/>
        </w:rPr>
        <w:t>/</w:t>
      </w:r>
      <w:proofErr w:type="spellStart"/>
      <w:r w:rsidR="0098729B">
        <w:rPr>
          <w:rFonts w:cs="Times New Roman"/>
          <w:szCs w:val="24"/>
        </w:rPr>
        <w:t>pers.B</w:t>
      </w:r>
      <w:proofErr w:type="spellEnd"/>
      <w:r w:rsidR="0098729B">
        <w:rPr>
          <w:rFonts w:cs="Times New Roman"/>
          <w:szCs w:val="24"/>
        </w:rPr>
        <w:t xml:space="preserve">/ </w:t>
      </w:r>
      <w:r w:rsidRPr="008064AF">
        <w:rPr>
          <w:rFonts w:eastAsia="Arial Unicode MS" w:cs="Times New Roman"/>
          <w:kern w:val="1"/>
          <w:szCs w:val="24"/>
        </w:rPr>
        <w:t>norādīt, lai viņš personīgi vēršas tajās</w:t>
      </w:r>
      <w:r w:rsidR="00EF326A" w:rsidRPr="00EF326A">
        <w:rPr>
          <w:rFonts w:eastAsia="Arial Unicode MS" w:cs="Times New Roman"/>
          <w:kern w:val="1"/>
          <w:szCs w:val="24"/>
        </w:rPr>
        <w:t xml:space="preserve"> </w:t>
      </w:r>
      <w:r w:rsidR="00EF326A" w:rsidRPr="008064AF">
        <w:rPr>
          <w:rFonts w:eastAsia="Arial Unicode MS" w:cs="Times New Roman"/>
          <w:kern w:val="1"/>
          <w:szCs w:val="24"/>
        </w:rPr>
        <w:t>ar attiecīgiem iesniegumiem</w:t>
      </w:r>
      <w:r w:rsidRPr="008064AF">
        <w:rPr>
          <w:rFonts w:eastAsia="Arial Unicode MS" w:cs="Times New Roman"/>
          <w:kern w:val="1"/>
          <w:szCs w:val="24"/>
        </w:rPr>
        <w:t>.</w:t>
      </w:r>
    </w:p>
    <w:p w14:paraId="608DF088" w14:textId="77777777" w:rsidR="001E087F" w:rsidRPr="008064AF" w:rsidRDefault="001E087F" w:rsidP="007801B5">
      <w:pPr>
        <w:tabs>
          <w:tab w:val="left" w:pos="4536"/>
        </w:tabs>
        <w:spacing w:after="0" w:line="360" w:lineRule="auto"/>
        <w:ind w:firstLine="720"/>
        <w:jc w:val="both"/>
        <w:rPr>
          <w:rFonts w:eastAsia="Arial Unicode MS" w:cs="Times New Roman"/>
          <w:kern w:val="1"/>
          <w:szCs w:val="24"/>
        </w:rPr>
      </w:pPr>
    </w:p>
    <w:p w14:paraId="64A758EA" w14:textId="40517848" w:rsidR="00590DD3" w:rsidRPr="008064AF" w:rsidRDefault="00590DD3" w:rsidP="00590DD3">
      <w:pPr>
        <w:tabs>
          <w:tab w:val="left" w:pos="4536"/>
        </w:tabs>
        <w:spacing w:after="0" w:line="360" w:lineRule="auto"/>
        <w:ind w:firstLine="720"/>
        <w:jc w:val="both"/>
        <w:rPr>
          <w:rFonts w:eastAsia="Arial Unicode MS" w:cs="Times New Roman"/>
          <w:kern w:val="1"/>
          <w:szCs w:val="24"/>
        </w:rPr>
      </w:pPr>
      <w:r w:rsidRPr="008064AF">
        <w:rPr>
          <w:rFonts w:eastAsia="Arial Unicode MS" w:cs="Times New Roman"/>
          <w:kern w:val="1"/>
          <w:szCs w:val="24"/>
        </w:rPr>
        <w:t>[9] Tiesnešu ētikas komisija uzskata, ka reputācijas izvērtēšanā svarīgi ir fakti, kas varētu likt šaubīties par personas uzticamību, godprātību un spēju neatkarīgi pieņemt lēmumus, tādēļ ir nepieciešams nošķirt ziņas par faktiem no viedokļa, jo fakti ir pakļaujami pārbaudei, pretēji izskanējušam viedoklim.</w:t>
      </w:r>
    </w:p>
    <w:p w14:paraId="030AE6D2" w14:textId="77777777" w:rsidR="00590DD3" w:rsidRPr="008064AF" w:rsidRDefault="00590DD3" w:rsidP="00590DD3">
      <w:pPr>
        <w:tabs>
          <w:tab w:val="left" w:pos="4536"/>
        </w:tabs>
        <w:spacing w:after="0" w:line="360" w:lineRule="auto"/>
        <w:ind w:firstLine="720"/>
        <w:jc w:val="both"/>
        <w:rPr>
          <w:rFonts w:eastAsia="Arial Unicode MS" w:cs="Times New Roman"/>
          <w:kern w:val="1"/>
          <w:szCs w:val="24"/>
        </w:rPr>
      </w:pPr>
      <w:r w:rsidRPr="008064AF">
        <w:rPr>
          <w:rFonts w:eastAsia="Arial Unicode MS" w:cs="Times New Roman"/>
          <w:kern w:val="1"/>
          <w:szCs w:val="24"/>
        </w:rPr>
        <w:t>Latvijas Universitātes profesore, filozofe Skaidrīte Lasmane ir uzsvērusi: "Cilvēka publisko identitāti var apdraudēt dažādi skandāli, kurus reizēm var radīt arī mākslīgi, tāpēc vienmēr ir ļoti uzmanīgi jāizdara vērtējums un to nedrīkstētu balstīt tikai uz baumām."</w:t>
      </w:r>
      <w:r w:rsidRPr="008064AF">
        <w:rPr>
          <w:rFonts w:eastAsia="Arial Unicode MS"/>
          <w:kern w:val="1"/>
        </w:rPr>
        <w:t xml:space="preserve"> (Eksperti: Reputācija nav juridiski pierādāma lieta. Pieejams: </w:t>
      </w:r>
      <w:hyperlink r:id="rId7" w:history="1">
        <w:r w:rsidRPr="008064AF">
          <w:rPr>
            <w:rStyle w:val="Hipersaite"/>
            <w:rFonts w:eastAsia="Arial Unicode MS"/>
            <w:color w:val="auto"/>
            <w:kern w:val="1"/>
          </w:rPr>
          <w:t>http://www.diena.lv/latvija/politika/eksperti-reputacija-nav-juridiski-pieradama-lieta-13996882</w:t>
        </w:r>
      </w:hyperlink>
      <w:r w:rsidRPr="008064AF">
        <w:rPr>
          <w:rFonts w:eastAsia="Arial Unicode MS"/>
          <w:kern w:val="1"/>
        </w:rPr>
        <w:t>).</w:t>
      </w:r>
    </w:p>
    <w:p w14:paraId="5445C9A6" w14:textId="55E8CB6B" w:rsidR="00590DD3" w:rsidRPr="008064AF" w:rsidRDefault="00590DD3" w:rsidP="00590DD3">
      <w:pPr>
        <w:spacing w:after="0" w:line="360" w:lineRule="auto"/>
        <w:ind w:firstLine="720"/>
        <w:jc w:val="both"/>
        <w:rPr>
          <w:rFonts w:cs="Times New Roman"/>
          <w:szCs w:val="24"/>
        </w:rPr>
      </w:pPr>
      <w:r w:rsidRPr="008064AF">
        <w:rPr>
          <w:rFonts w:cs="Times New Roman"/>
          <w:szCs w:val="24"/>
        </w:rPr>
        <w:t>Vienlai</w:t>
      </w:r>
      <w:r w:rsidR="001E087F" w:rsidRPr="008064AF">
        <w:rPr>
          <w:rFonts w:cs="Times New Roman"/>
          <w:szCs w:val="24"/>
        </w:rPr>
        <w:t>kus</w:t>
      </w:r>
      <w:r w:rsidRPr="008064AF">
        <w:rPr>
          <w:rFonts w:cs="Times New Roman"/>
          <w:szCs w:val="24"/>
        </w:rPr>
        <w:t xml:space="preserve"> Tiesnešu ētikas komisija</w:t>
      </w:r>
      <w:r w:rsidR="001E087F" w:rsidRPr="008064AF">
        <w:rPr>
          <w:rFonts w:cs="Times New Roman"/>
          <w:szCs w:val="24"/>
        </w:rPr>
        <w:t xml:space="preserve"> uzskata, ka </w:t>
      </w:r>
      <w:r w:rsidRPr="008064AF">
        <w:rPr>
          <w:rFonts w:cs="Times New Roman"/>
          <w:szCs w:val="24"/>
        </w:rPr>
        <w:t xml:space="preserve">raidījumu vadītāju publiski paustais viedoklis par nesen amatā iecelto tiesnesi </w:t>
      </w:r>
      <w:r w:rsidR="0098729B">
        <w:rPr>
          <w:rFonts w:cs="Times New Roman"/>
          <w:szCs w:val="24"/>
        </w:rPr>
        <w:t>/</w:t>
      </w:r>
      <w:proofErr w:type="spellStart"/>
      <w:r w:rsidR="0098729B">
        <w:rPr>
          <w:rFonts w:cs="Times New Roman"/>
          <w:szCs w:val="24"/>
        </w:rPr>
        <w:t>pers.A</w:t>
      </w:r>
      <w:proofErr w:type="spellEnd"/>
      <w:r w:rsidR="0098729B">
        <w:rPr>
          <w:rFonts w:cs="Times New Roman"/>
          <w:szCs w:val="24"/>
        </w:rPr>
        <w:t xml:space="preserve">/ </w:t>
      </w:r>
      <w:r w:rsidRPr="008064AF">
        <w:rPr>
          <w:rFonts w:cs="Times New Roman"/>
          <w:szCs w:val="24"/>
        </w:rPr>
        <w:t>nav bijis korekts un</w:t>
      </w:r>
      <w:r w:rsidR="001E087F" w:rsidRPr="008064AF">
        <w:rPr>
          <w:rFonts w:cs="Times New Roman"/>
          <w:szCs w:val="24"/>
        </w:rPr>
        <w:t xml:space="preserve"> ir pretrunā ar</w:t>
      </w:r>
      <w:r w:rsidRPr="008064AF">
        <w:rPr>
          <w:rFonts w:cs="Times New Roman"/>
          <w:szCs w:val="24"/>
        </w:rPr>
        <w:t xml:space="preserve"> </w:t>
      </w:r>
      <w:r w:rsidR="001E087F" w:rsidRPr="008064AF">
        <w:rPr>
          <w:rFonts w:cs="Times New Roman"/>
          <w:szCs w:val="24"/>
        </w:rPr>
        <w:t>b</w:t>
      </w:r>
      <w:r w:rsidRPr="008064AF">
        <w:rPr>
          <w:rFonts w:cs="Times New Roman"/>
          <w:szCs w:val="24"/>
        </w:rPr>
        <w:t>iedrības “Latvijas Mediju ētikas padome” Ētikas kodeksā (turpmāk – Mediju Ētikas kodekss) nostiprinātajām vērtībām un principiem.</w:t>
      </w:r>
    </w:p>
    <w:p w14:paraId="53135ED0" w14:textId="77777777" w:rsidR="008064AF" w:rsidRPr="008064AF" w:rsidRDefault="00590DD3" w:rsidP="00590DD3">
      <w:pPr>
        <w:spacing w:after="0" w:line="360" w:lineRule="auto"/>
        <w:ind w:firstLine="720"/>
        <w:jc w:val="both"/>
        <w:rPr>
          <w:rFonts w:cs="Times New Roman"/>
          <w:szCs w:val="24"/>
        </w:rPr>
      </w:pPr>
      <w:r w:rsidRPr="008064AF">
        <w:rPr>
          <w:rFonts w:cs="Times New Roman"/>
          <w:szCs w:val="24"/>
        </w:rPr>
        <w:t>Tiesnešu ētikas komisija</w:t>
      </w:r>
      <w:r w:rsidR="001E087F" w:rsidRPr="008064AF">
        <w:rPr>
          <w:rFonts w:cs="Times New Roman"/>
          <w:szCs w:val="24"/>
        </w:rPr>
        <w:t>s ieskatā</w:t>
      </w:r>
      <w:r w:rsidRPr="008064AF">
        <w:rPr>
          <w:rFonts w:cs="Times New Roman"/>
          <w:szCs w:val="24"/>
        </w:rPr>
        <w:t xml:space="preserve"> raidījuma vadītāj</w:t>
      </w:r>
      <w:r w:rsidR="001E087F" w:rsidRPr="008064AF">
        <w:rPr>
          <w:rFonts w:cs="Times New Roman"/>
          <w:szCs w:val="24"/>
        </w:rPr>
        <w:t xml:space="preserve">u rīcība bijusi </w:t>
      </w:r>
      <w:r w:rsidR="008064AF" w:rsidRPr="008064AF">
        <w:rPr>
          <w:rFonts w:cs="Times New Roman"/>
          <w:szCs w:val="24"/>
        </w:rPr>
        <w:t>pretrunā</w:t>
      </w:r>
      <w:r w:rsidR="001E087F" w:rsidRPr="008064AF">
        <w:rPr>
          <w:rFonts w:cs="Times New Roman"/>
          <w:szCs w:val="24"/>
        </w:rPr>
        <w:t xml:space="preserve"> ar </w:t>
      </w:r>
      <w:r w:rsidRPr="008064AF">
        <w:rPr>
          <w:rFonts w:cs="Times New Roman"/>
          <w:szCs w:val="24"/>
        </w:rPr>
        <w:t xml:space="preserve">Mediju Ētikas kodeksa 4.1.punktā noteikto godprātības principu, </w:t>
      </w:r>
      <w:r w:rsidR="008064AF" w:rsidRPr="008064AF">
        <w:rPr>
          <w:rFonts w:cs="Times New Roman"/>
          <w:szCs w:val="24"/>
        </w:rPr>
        <w:t xml:space="preserve">saskaņā ar kuru </w:t>
      </w:r>
      <w:r w:rsidRPr="008064AF">
        <w:rPr>
          <w:rFonts w:cs="Times New Roman"/>
          <w:szCs w:val="24"/>
        </w:rPr>
        <w:t xml:space="preserve">nav pieļaujama un ir novēršama nepatiesas, sagrozītas vai maldinošā formā pasniegtas informācijas, pārspīlējuma, </w:t>
      </w:r>
      <w:proofErr w:type="spellStart"/>
      <w:r w:rsidRPr="008064AF">
        <w:rPr>
          <w:rFonts w:cs="Times New Roman"/>
          <w:szCs w:val="24"/>
        </w:rPr>
        <w:t>stereotipizācijas</w:t>
      </w:r>
      <w:proofErr w:type="spellEnd"/>
      <w:r w:rsidRPr="008064AF">
        <w:rPr>
          <w:rFonts w:cs="Times New Roman"/>
          <w:szCs w:val="24"/>
        </w:rPr>
        <w:t xml:space="preserve"> publiskošana un centieni tīši un aizklāti ietekmēt auditoriju; 4.4.punktā noteikto, ka, izplatot informāciju, ir skaidri jānošķir fakti no žurnālistu viedokļiem vai interpretācijas, un 4.6.1.punktā paredzēto, ka plašsaziņas mediji izvairās no nepārbaudītas informācijas publicēšanas. </w:t>
      </w:r>
    </w:p>
    <w:p w14:paraId="1455CA77" w14:textId="6033B67F" w:rsidR="00590DD3" w:rsidRPr="008064AF" w:rsidRDefault="00590DD3" w:rsidP="00590DD3">
      <w:pPr>
        <w:spacing w:after="0" w:line="360" w:lineRule="auto"/>
        <w:ind w:firstLine="720"/>
        <w:jc w:val="both"/>
        <w:rPr>
          <w:rFonts w:cs="Times New Roman"/>
          <w:szCs w:val="24"/>
        </w:rPr>
      </w:pPr>
      <w:r w:rsidRPr="008064AF">
        <w:rPr>
          <w:rFonts w:cs="Times New Roman"/>
          <w:szCs w:val="24"/>
        </w:rPr>
        <w:t xml:space="preserve">Tiesnešu ētikas komisija uzskata, ka </w:t>
      </w:r>
      <w:r w:rsidR="008064AF" w:rsidRPr="008064AF">
        <w:rPr>
          <w:rFonts w:cs="Times New Roman"/>
          <w:szCs w:val="24"/>
        </w:rPr>
        <w:t xml:space="preserve">vispusīgi nepārbaudītas informācijas un tendencioza </w:t>
      </w:r>
      <w:r w:rsidRPr="008064AF">
        <w:rPr>
          <w:rFonts w:cs="Times New Roman"/>
          <w:szCs w:val="24"/>
        </w:rPr>
        <w:t>viedokļa publiska paušana var radīt nepamatotas šaubas par amatā ieceltās tiesnese</w:t>
      </w:r>
      <w:r w:rsidR="008064AF" w:rsidRPr="008064AF">
        <w:rPr>
          <w:rFonts w:cs="Times New Roman"/>
          <w:szCs w:val="24"/>
        </w:rPr>
        <w:t>s</w:t>
      </w:r>
      <w:r w:rsidRPr="008064AF">
        <w:rPr>
          <w:rFonts w:cs="Times New Roman"/>
          <w:szCs w:val="24"/>
        </w:rPr>
        <w:t xml:space="preserve"> godprātību, kas savukārt var ietekmēt sabiedrības uzticēšanos tiesu varai kopumā. </w:t>
      </w:r>
    </w:p>
    <w:p w14:paraId="3A44E397" w14:textId="77777777" w:rsidR="00590DD3" w:rsidRPr="008064AF" w:rsidRDefault="00590DD3" w:rsidP="00590DD3">
      <w:pPr>
        <w:spacing w:after="0" w:line="360" w:lineRule="auto"/>
        <w:ind w:firstLine="720"/>
        <w:jc w:val="both"/>
        <w:rPr>
          <w:rFonts w:cs="Times New Roman"/>
          <w:szCs w:val="24"/>
        </w:rPr>
      </w:pPr>
    </w:p>
    <w:p w14:paraId="7FDBDFB5" w14:textId="05B7C6D7" w:rsidR="00590DD3" w:rsidRPr="008064AF" w:rsidRDefault="00590DD3" w:rsidP="008064AF">
      <w:pPr>
        <w:spacing w:after="0" w:line="360" w:lineRule="auto"/>
        <w:ind w:firstLine="720"/>
        <w:jc w:val="both"/>
        <w:rPr>
          <w:rFonts w:cs="Times New Roman"/>
          <w:szCs w:val="24"/>
        </w:rPr>
      </w:pPr>
      <w:r w:rsidRPr="008064AF">
        <w:rPr>
          <w:rFonts w:cs="Times New Roman"/>
          <w:szCs w:val="24"/>
        </w:rPr>
        <w:t xml:space="preserve">[10] Ievērojot iepriekš analizētos argumentus, apsvērumus un secinājumus, Tiesnešu ētikas komisija atzīst, ka publiski izskanējušās ziņas un Tiesnešu ētikas komisijas rīcībā esošie dokumenti nedod pamatu konstatēt faktus par tiesneses </w:t>
      </w:r>
      <w:r w:rsidR="0098729B">
        <w:rPr>
          <w:rFonts w:cs="Times New Roman"/>
          <w:szCs w:val="24"/>
        </w:rPr>
        <w:t>/</w:t>
      </w:r>
      <w:proofErr w:type="spellStart"/>
      <w:r w:rsidR="0098729B">
        <w:rPr>
          <w:rFonts w:cs="Times New Roman"/>
          <w:szCs w:val="24"/>
        </w:rPr>
        <w:t>pers.A</w:t>
      </w:r>
      <w:proofErr w:type="spellEnd"/>
      <w:r w:rsidR="0098729B">
        <w:rPr>
          <w:rFonts w:cs="Times New Roman"/>
          <w:szCs w:val="24"/>
        </w:rPr>
        <w:t>/</w:t>
      </w:r>
      <w:r w:rsidRPr="008064AF">
        <w:rPr>
          <w:rFonts w:cs="Times New Roman"/>
          <w:szCs w:val="24"/>
        </w:rPr>
        <w:t xml:space="preserve"> reputācijas riskiem, kas varētu liegt viņai ieņemt tiesneša amatu. </w:t>
      </w:r>
    </w:p>
    <w:p w14:paraId="31222A60" w14:textId="77777777" w:rsidR="00590DD3" w:rsidRPr="008064AF" w:rsidRDefault="00590DD3" w:rsidP="00590DD3">
      <w:pPr>
        <w:spacing w:after="0" w:line="276" w:lineRule="auto"/>
        <w:ind w:firstLine="720"/>
        <w:jc w:val="both"/>
        <w:rPr>
          <w:rFonts w:cs="Times New Roman"/>
          <w:szCs w:val="24"/>
        </w:rPr>
      </w:pPr>
    </w:p>
    <w:p w14:paraId="06C07607" w14:textId="77777777" w:rsidR="00590DD3" w:rsidRPr="008064AF" w:rsidRDefault="00590DD3" w:rsidP="00590DD3">
      <w:pPr>
        <w:spacing w:after="0" w:line="276" w:lineRule="auto"/>
        <w:ind w:firstLine="720"/>
        <w:jc w:val="both"/>
        <w:rPr>
          <w:rFonts w:cs="Times New Roman"/>
          <w:szCs w:val="24"/>
        </w:rPr>
      </w:pPr>
      <w:r w:rsidRPr="008064AF">
        <w:rPr>
          <w:rFonts w:cs="Times New Roman"/>
          <w:szCs w:val="24"/>
        </w:rPr>
        <w:t xml:space="preserve">Ņemot vērā minēto, Tiesnešu ētikas komisija </w:t>
      </w:r>
    </w:p>
    <w:p w14:paraId="207C9328" w14:textId="77777777" w:rsidR="00590DD3" w:rsidRPr="008064AF" w:rsidRDefault="00590DD3" w:rsidP="00590DD3">
      <w:pPr>
        <w:spacing w:after="0" w:line="276" w:lineRule="auto"/>
        <w:ind w:firstLine="720"/>
        <w:jc w:val="both"/>
        <w:rPr>
          <w:rFonts w:cs="Times New Roman"/>
          <w:szCs w:val="24"/>
        </w:rPr>
      </w:pPr>
    </w:p>
    <w:p w14:paraId="66262A3D" w14:textId="77777777" w:rsidR="00590DD3" w:rsidRPr="008064AF" w:rsidRDefault="00590DD3" w:rsidP="00590DD3">
      <w:pPr>
        <w:spacing w:after="0" w:line="360" w:lineRule="auto"/>
        <w:jc w:val="center"/>
        <w:rPr>
          <w:rFonts w:cs="Times New Roman"/>
          <w:b/>
          <w:spacing w:val="20"/>
          <w:szCs w:val="24"/>
        </w:rPr>
      </w:pPr>
      <w:r w:rsidRPr="008064AF">
        <w:rPr>
          <w:rFonts w:cs="Times New Roman"/>
          <w:b/>
          <w:spacing w:val="20"/>
          <w:szCs w:val="24"/>
        </w:rPr>
        <w:t>atzīst:</w:t>
      </w:r>
    </w:p>
    <w:p w14:paraId="612F55A7" w14:textId="77777777" w:rsidR="00590DD3" w:rsidRPr="008064AF" w:rsidRDefault="00590DD3" w:rsidP="00590DD3">
      <w:pPr>
        <w:widowControl w:val="0"/>
        <w:suppressAutoHyphens/>
        <w:spacing w:after="0" w:line="360" w:lineRule="auto"/>
        <w:ind w:firstLine="709"/>
        <w:jc w:val="both"/>
        <w:rPr>
          <w:rFonts w:eastAsia="Arial Unicode MS" w:cs="Times New Roman"/>
          <w:kern w:val="1"/>
          <w:szCs w:val="24"/>
          <w:lang w:eastAsia="ar-SA"/>
        </w:rPr>
      </w:pPr>
    </w:p>
    <w:p w14:paraId="6FF5CC4B" w14:textId="2958BB35" w:rsidR="00590DD3" w:rsidRPr="008064AF" w:rsidRDefault="00590DD3" w:rsidP="00590DD3">
      <w:pPr>
        <w:widowControl w:val="0"/>
        <w:suppressAutoHyphens/>
        <w:spacing w:after="0" w:line="360" w:lineRule="auto"/>
        <w:ind w:firstLine="709"/>
        <w:jc w:val="both"/>
        <w:rPr>
          <w:rFonts w:eastAsia="Arial Unicode MS" w:cs="Times New Roman"/>
          <w:kern w:val="1"/>
          <w:szCs w:val="24"/>
          <w:lang w:eastAsia="ar-SA"/>
        </w:rPr>
      </w:pPr>
      <w:r w:rsidRPr="008064AF">
        <w:rPr>
          <w:rFonts w:eastAsia="Arial Unicode MS" w:cs="Times New Roman"/>
          <w:kern w:val="1"/>
          <w:szCs w:val="24"/>
          <w:lang w:eastAsia="ar-SA"/>
        </w:rPr>
        <w:t xml:space="preserve">Tiesneses </w:t>
      </w:r>
      <w:r w:rsidR="0098729B">
        <w:rPr>
          <w:rFonts w:cs="Times New Roman"/>
          <w:szCs w:val="24"/>
        </w:rPr>
        <w:t>/</w:t>
      </w:r>
      <w:proofErr w:type="spellStart"/>
      <w:r w:rsidR="0098729B">
        <w:rPr>
          <w:rFonts w:cs="Times New Roman"/>
          <w:szCs w:val="24"/>
        </w:rPr>
        <w:t>pers.A</w:t>
      </w:r>
      <w:proofErr w:type="spellEnd"/>
      <w:r w:rsidR="0098729B">
        <w:rPr>
          <w:rFonts w:cs="Times New Roman"/>
          <w:szCs w:val="24"/>
        </w:rPr>
        <w:t xml:space="preserve">/ </w:t>
      </w:r>
      <w:r w:rsidRPr="008064AF">
        <w:rPr>
          <w:rFonts w:eastAsia="Arial Unicode MS" w:cs="Times New Roman"/>
          <w:kern w:val="1"/>
          <w:szCs w:val="24"/>
          <w:lang w:eastAsia="ar-SA"/>
        </w:rPr>
        <w:t>rīcībā, pildot maksātnespējas administratora amata pienākumus pirms stāšanās tiesne</w:t>
      </w:r>
      <w:r w:rsidR="008064AF" w:rsidRPr="008064AF">
        <w:rPr>
          <w:rFonts w:eastAsia="Arial Unicode MS" w:cs="Times New Roman"/>
          <w:kern w:val="1"/>
          <w:szCs w:val="24"/>
          <w:lang w:eastAsia="ar-SA"/>
        </w:rPr>
        <w:t>ses</w:t>
      </w:r>
      <w:r w:rsidRPr="008064AF">
        <w:rPr>
          <w:rFonts w:eastAsia="Arial Unicode MS" w:cs="Times New Roman"/>
          <w:kern w:val="1"/>
          <w:szCs w:val="24"/>
          <w:lang w:eastAsia="ar-SA"/>
        </w:rPr>
        <w:t xml:space="preserve"> amatā, netiek konstatēti reputācijas riski,</w:t>
      </w:r>
      <w:r w:rsidRPr="008064AF">
        <w:rPr>
          <w:rFonts w:cs="Times New Roman"/>
          <w:szCs w:val="24"/>
        </w:rPr>
        <w:t xml:space="preserve"> kas varētu liegt viņai ieņemt tiesne</w:t>
      </w:r>
      <w:r w:rsidR="008064AF" w:rsidRPr="008064AF">
        <w:rPr>
          <w:rFonts w:cs="Times New Roman"/>
          <w:szCs w:val="24"/>
        </w:rPr>
        <w:t>ša</w:t>
      </w:r>
      <w:r w:rsidRPr="008064AF">
        <w:rPr>
          <w:rFonts w:cs="Times New Roman"/>
          <w:szCs w:val="24"/>
        </w:rPr>
        <w:t xml:space="preserve"> amatu.</w:t>
      </w:r>
    </w:p>
    <w:p w14:paraId="43AB5747" w14:textId="77777777" w:rsidR="00590DD3" w:rsidRPr="008064AF" w:rsidRDefault="00590DD3" w:rsidP="00590DD3">
      <w:pPr>
        <w:spacing w:after="0" w:line="360" w:lineRule="auto"/>
        <w:ind w:right="-1"/>
        <w:rPr>
          <w:rFonts w:cs="Times New Roman"/>
          <w:szCs w:val="24"/>
        </w:rPr>
      </w:pPr>
    </w:p>
    <w:tbl>
      <w:tblPr>
        <w:tblW w:w="0" w:type="auto"/>
        <w:tblLook w:val="04A0" w:firstRow="1" w:lastRow="0" w:firstColumn="1" w:lastColumn="0" w:noHBand="0" w:noVBand="1"/>
      </w:tblPr>
      <w:tblGrid>
        <w:gridCol w:w="6025"/>
        <w:gridCol w:w="2281"/>
      </w:tblGrid>
      <w:tr w:rsidR="009E3AE6" w14:paraId="00199575" w14:textId="77777777" w:rsidTr="0025388F">
        <w:tc>
          <w:tcPr>
            <w:tcW w:w="6025" w:type="dxa"/>
            <w:shd w:val="clear" w:color="auto" w:fill="auto"/>
            <w:hideMark/>
          </w:tcPr>
          <w:p w14:paraId="3D91EC36" w14:textId="77777777" w:rsidR="009E3AE6" w:rsidRDefault="009E3AE6" w:rsidP="0025388F">
            <w:pPr>
              <w:pStyle w:val="Standard"/>
              <w:spacing w:line="276" w:lineRule="auto"/>
              <w:jc w:val="both"/>
            </w:pPr>
            <w:r>
              <w:t>Komisijas priekšsēdētāja</w:t>
            </w:r>
          </w:p>
        </w:tc>
        <w:tc>
          <w:tcPr>
            <w:tcW w:w="2281" w:type="dxa"/>
            <w:shd w:val="clear" w:color="auto" w:fill="auto"/>
            <w:hideMark/>
          </w:tcPr>
          <w:p w14:paraId="221FA61E" w14:textId="77777777" w:rsidR="009E3AE6" w:rsidRDefault="009E3AE6" w:rsidP="0025388F">
            <w:pPr>
              <w:pStyle w:val="Standard"/>
              <w:spacing w:line="276" w:lineRule="auto"/>
              <w:jc w:val="both"/>
            </w:pPr>
            <w:r>
              <w:t>Dace Skrauple</w:t>
            </w:r>
          </w:p>
          <w:p w14:paraId="33347FDA" w14:textId="77777777" w:rsidR="009E3AE6" w:rsidRDefault="009E3AE6" w:rsidP="0025388F">
            <w:pPr>
              <w:pStyle w:val="Standard"/>
              <w:spacing w:line="276" w:lineRule="auto"/>
              <w:jc w:val="both"/>
            </w:pPr>
          </w:p>
        </w:tc>
      </w:tr>
      <w:tr w:rsidR="009E3AE6" w14:paraId="418C8A61" w14:textId="77777777" w:rsidTr="0025388F">
        <w:tc>
          <w:tcPr>
            <w:tcW w:w="6025" w:type="dxa"/>
            <w:shd w:val="clear" w:color="auto" w:fill="auto"/>
          </w:tcPr>
          <w:p w14:paraId="768A6B67" w14:textId="77777777" w:rsidR="009E3AE6" w:rsidRDefault="009E3AE6" w:rsidP="0025388F">
            <w:pPr>
              <w:pStyle w:val="Standard"/>
              <w:spacing w:line="276" w:lineRule="auto"/>
              <w:jc w:val="both"/>
            </w:pPr>
          </w:p>
        </w:tc>
        <w:tc>
          <w:tcPr>
            <w:tcW w:w="2281" w:type="dxa"/>
            <w:shd w:val="clear" w:color="auto" w:fill="auto"/>
          </w:tcPr>
          <w:p w14:paraId="3747336C" w14:textId="77777777" w:rsidR="009E3AE6" w:rsidRDefault="009E3AE6" w:rsidP="0025388F">
            <w:pPr>
              <w:pStyle w:val="Standard"/>
              <w:spacing w:line="276" w:lineRule="auto"/>
              <w:jc w:val="both"/>
            </w:pPr>
          </w:p>
        </w:tc>
      </w:tr>
      <w:tr w:rsidR="009E3AE6" w14:paraId="7A1C41D2" w14:textId="77777777" w:rsidTr="0025388F">
        <w:tc>
          <w:tcPr>
            <w:tcW w:w="6025" w:type="dxa"/>
            <w:shd w:val="clear" w:color="auto" w:fill="auto"/>
          </w:tcPr>
          <w:p w14:paraId="66C685CE" w14:textId="07170F43" w:rsidR="009E3AE6" w:rsidRDefault="009E3AE6" w:rsidP="0025388F">
            <w:pPr>
              <w:pStyle w:val="Standard"/>
              <w:spacing w:line="276" w:lineRule="auto"/>
              <w:jc w:val="both"/>
            </w:pPr>
            <w:r>
              <w:t>Komisijas locekles</w:t>
            </w:r>
          </w:p>
        </w:tc>
        <w:tc>
          <w:tcPr>
            <w:tcW w:w="2281" w:type="dxa"/>
            <w:shd w:val="clear" w:color="auto" w:fill="auto"/>
          </w:tcPr>
          <w:p w14:paraId="69082FBD" w14:textId="18D11D81" w:rsidR="009E3AE6" w:rsidRDefault="009E3AE6" w:rsidP="0025388F">
            <w:pPr>
              <w:pStyle w:val="Standard"/>
              <w:spacing w:line="276" w:lineRule="auto"/>
              <w:jc w:val="both"/>
            </w:pPr>
            <w:r>
              <w:t>Iveta Andžāne</w:t>
            </w:r>
          </w:p>
        </w:tc>
      </w:tr>
      <w:tr w:rsidR="009E3AE6" w14:paraId="7BBF81DD" w14:textId="77777777" w:rsidTr="0025388F">
        <w:tc>
          <w:tcPr>
            <w:tcW w:w="6025" w:type="dxa"/>
            <w:shd w:val="clear" w:color="auto" w:fill="auto"/>
            <w:hideMark/>
          </w:tcPr>
          <w:p w14:paraId="70875303" w14:textId="4BEABB0F" w:rsidR="009E3AE6" w:rsidRDefault="009E3AE6" w:rsidP="0025388F">
            <w:pPr>
              <w:pStyle w:val="Standard"/>
              <w:spacing w:line="276" w:lineRule="auto"/>
              <w:jc w:val="both"/>
            </w:pPr>
          </w:p>
        </w:tc>
        <w:tc>
          <w:tcPr>
            <w:tcW w:w="2281" w:type="dxa"/>
            <w:shd w:val="clear" w:color="auto" w:fill="auto"/>
            <w:vAlign w:val="center"/>
            <w:hideMark/>
          </w:tcPr>
          <w:p w14:paraId="12888C0F" w14:textId="77777777" w:rsidR="009E3AE6" w:rsidRPr="00C424C4" w:rsidRDefault="009E3AE6" w:rsidP="0025388F">
            <w:pPr>
              <w:pStyle w:val="Standard"/>
              <w:spacing w:line="276" w:lineRule="auto"/>
              <w:jc w:val="both"/>
              <w:rPr>
                <w:color w:val="000000"/>
              </w:rPr>
            </w:pPr>
            <w:r w:rsidRPr="00C424C4">
              <w:rPr>
                <w:color w:val="000000"/>
              </w:rPr>
              <w:t>Madara Ābele</w:t>
            </w:r>
          </w:p>
          <w:p w14:paraId="1B71E734" w14:textId="77777777" w:rsidR="009E3AE6" w:rsidRDefault="009E3AE6" w:rsidP="0025388F">
            <w:pPr>
              <w:pStyle w:val="Standard"/>
              <w:spacing w:line="276" w:lineRule="auto"/>
              <w:jc w:val="both"/>
            </w:pPr>
          </w:p>
        </w:tc>
      </w:tr>
      <w:tr w:rsidR="009E3AE6" w14:paraId="3B7A89DD" w14:textId="77777777" w:rsidTr="0025388F">
        <w:tc>
          <w:tcPr>
            <w:tcW w:w="6025" w:type="dxa"/>
            <w:shd w:val="clear" w:color="auto" w:fill="auto"/>
          </w:tcPr>
          <w:p w14:paraId="7CE60287" w14:textId="77777777" w:rsidR="009E3AE6" w:rsidRDefault="009E3AE6" w:rsidP="0025388F">
            <w:pPr>
              <w:pStyle w:val="Standard"/>
              <w:spacing w:line="276" w:lineRule="auto"/>
              <w:jc w:val="both"/>
            </w:pPr>
          </w:p>
        </w:tc>
        <w:tc>
          <w:tcPr>
            <w:tcW w:w="2281" w:type="dxa"/>
            <w:shd w:val="clear" w:color="auto" w:fill="auto"/>
            <w:vAlign w:val="center"/>
            <w:hideMark/>
          </w:tcPr>
          <w:p w14:paraId="1EFBF001" w14:textId="77777777" w:rsidR="009E3AE6" w:rsidRPr="00C424C4" w:rsidRDefault="009E3AE6" w:rsidP="0025388F">
            <w:pPr>
              <w:pStyle w:val="Standard"/>
              <w:spacing w:line="276" w:lineRule="auto"/>
              <w:jc w:val="both"/>
              <w:rPr>
                <w:color w:val="000000"/>
              </w:rPr>
            </w:pPr>
            <w:r w:rsidRPr="00C424C4">
              <w:rPr>
                <w:color w:val="000000"/>
              </w:rPr>
              <w:t>Aija Jermacāne</w:t>
            </w:r>
          </w:p>
          <w:p w14:paraId="42330CB0" w14:textId="77777777" w:rsidR="009E3AE6" w:rsidRDefault="009E3AE6" w:rsidP="0025388F">
            <w:pPr>
              <w:pStyle w:val="Standard"/>
              <w:spacing w:line="276" w:lineRule="auto"/>
              <w:jc w:val="both"/>
            </w:pPr>
          </w:p>
        </w:tc>
      </w:tr>
      <w:tr w:rsidR="009E3AE6" w14:paraId="2825E37E" w14:textId="77777777" w:rsidTr="0025388F">
        <w:tc>
          <w:tcPr>
            <w:tcW w:w="6025" w:type="dxa"/>
            <w:shd w:val="clear" w:color="auto" w:fill="auto"/>
          </w:tcPr>
          <w:p w14:paraId="6707B987" w14:textId="77777777" w:rsidR="009E3AE6" w:rsidRDefault="009E3AE6" w:rsidP="0025388F">
            <w:pPr>
              <w:pStyle w:val="Standard"/>
              <w:spacing w:line="276" w:lineRule="auto"/>
              <w:jc w:val="both"/>
            </w:pPr>
          </w:p>
        </w:tc>
        <w:tc>
          <w:tcPr>
            <w:tcW w:w="2281" w:type="dxa"/>
            <w:shd w:val="clear" w:color="auto" w:fill="auto"/>
            <w:vAlign w:val="center"/>
            <w:hideMark/>
          </w:tcPr>
          <w:p w14:paraId="2E654C82" w14:textId="77777777" w:rsidR="009E3AE6" w:rsidRPr="00C424C4" w:rsidRDefault="009E3AE6" w:rsidP="0025388F">
            <w:pPr>
              <w:pStyle w:val="Standard"/>
              <w:spacing w:line="276" w:lineRule="auto"/>
              <w:jc w:val="both"/>
              <w:rPr>
                <w:color w:val="000000"/>
              </w:rPr>
            </w:pPr>
            <w:r w:rsidRPr="00C424C4">
              <w:rPr>
                <w:color w:val="000000"/>
              </w:rPr>
              <w:t>Adrija Kasakovska</w:t>
            </w:r>
          </w:p>
          <w:p w14:paraId="7F34D03E" w14:textId="77777777" w:rsidR="009E3AE6" w:rsidRDefault="009E3AE6" w:rsidP="0025388F">
            <w:pPr>
              <w:pStyle w:val="Standard"/>
              <w:spacing w:line="276" w:lineRule="auto"/>
              <w:jc w:val="both"/>
            </w:pPr>
          </w:p>
        </w:tc>
      </w:tr>
      <w:tr w:rsidR="009E3AE6" w14:paraId="4DFF24B9" w14:textId="77777777" w:rsidTr="0025388F">
        <w:tc>
          <w:tcPr>
            <w:tcW w:w="6025" w:type="dxa"/>
            <w:shd w:val="clear" w:color="auto" w:fill="auto"/>
          </w:tcPr>
          <w:p w14:paraId="5095341C" w14:textId="77777777" w:rsidR="009E3AE6" w:rsidRDefault="009E3AE6" w:rsidP="0025388F">
            <w:pPr>
              <w:pStyle w:val="Standard"/>
              <w:spacing w:line="276" w:lineRule="auto"/>
              <w:jc w:val="both"/>
            </w:pPr>
          </w:p>
        </w:tc>
        <w:tc>
          <w:tcPr>
            <w:tcW w:w="2281" w:type="dxa"/>
            <w:shd w:val="clear" w:color="auto" w:fill="auto"/>
            <w:vAlign w:val="center"/>
            <w:hideMark/>
          </w:tcPr>
          <w:p w14:paraId="06FD0020" w14:textId="77777777" w:rsidR="009E3AE6" w:rsidRPr="00C424C4" w:rsidRDefault="009E3AE6" w:rsidP="0025388F">
            <w:pPr>
              <w:pStyle w:val="Standard"/>
              <w:spacing w:line="276" w:lineRule="auto"/>
              <w:jc w:val="both"/>
              <w:rPr>
                <w:color w:val="000000"/>
              </w:rPr>
            </w:pPr>
            <w:r w:rsidRPr="00C424C4">
              <w:rPr>
                <w:color w:val="000000"/>
              </w:rPr>
              <w:t>Anda Kraukle</w:t>
            </w:r>
          </w:p>
          <w:p w14:paraId="32FA78F5" w14:textId="77777777" w:rsidR="009E3AE6" w:rsidRDefault="009E3AE6" w:rsidP="0025388F">
            <w:pPr>
              <w:pStyle w:val="Standard"/>
              <w:spacing w:line="276" w:lineRule="auto"/>
              <w:jc w:val="both"/>
            </w:pPr>
          </w:p>
        </w:tc>
      </w:tr>
      <w:tr w:rsidR="009E3AE6" w14:paraId="518549D2" w14:textId="77777777" w:rsidTr="0025388F">
        <w:tc>
          <w:tcPr>
            <w:tcW w:w="6025" w:type="dxa"/>
            <w:shd w:val="clear" w:color="auto" w:fill="auto"/>
          </w:tcPr>
          <w:p w14:paraId="50309F41" w14:textId="77777777" w:rsidR="009E3AE6" w:rsidRDefault="009E3AE6" w:rsidP="0025388F">
            <w:pPr>
              <w:pStyle w:val="Standard"/>
              <w:spacing w:line="276" w:lineRule="auto"/>
              <w:jc w:val="both"/>
            </w:pPr>
          </w:p>
        </w:tc>
        <w:tc>
          <w:tcPr>
            <w:tcW w:w="2281" w:type="dxa"/>
            <w:shd w:val="clear" w:color="auto" w:fill="auto"/>
            <w:vAlign w:val="center"/>
            <w:hideMark/>
          </w:tcPr>
          <w:p w14:paraId="745A567A" w14:textId="77777777" w:rsidR="009E3AE6" w:rsidRPr="00C424C4" w:rsidRDefault="009E3AE6" w:rsidP="0025388F">
            <w:pPr>
              <w:pStyle w:val="Standard"/>
              <w:spacing w:line="276" w:lineRule="auto"/>
              <w:jc w:val="both"/>
              <w:rPr>
                <w:color w:val="000000"/>
              </w:rPr>
            </w:pPr>
            <w:r w:rsidRPr="00C424C4">
              <w:rPr>
                <w:color w:val="000000"/>
              </w:rPr>
              <w:t>Baiba Lielpētere</w:t>
            </w:r>
          </w:p>
          <w:p w14:paraId="48B48CAB" w14:textId="77777777" w:rsidR="009E3AE6" w:rsidRDefault="009E3AE6" w:rsidP="0025388F">
            <w:pPr>
              <w:pStyle w:val="Standard"/>
              <w:spacing w:line="276" w:lineRule="auto"/>
              <w:jc w:val="both"/>
            </w:pPr>
          </w:p>
        </w:tc>
      </w:tr>
      <w:tr w:rsidR="009E3AE6" w14:paraId="6BBD384B" w14:textId="77777777" w:rsidTr="0025388F">
        <w:tc>
          <w:tcPr>
            <w:tcW w:w="6025" w:type="dxa"/>
            <w:shd w:val="clear" w:color="auto" w:fill="auto"/>
          </w:tcPr>
          <w:p w14:paraId="016DE4FE" w14:textId="77777777" w:rsidR="009E3AE6" w:rsidRDefault="009E3AE6" w:rsidP="0025388F">
            <w:pPr>
              <w:pStyle w:val="Standard"/>
              <w:spacing w:line="276" w:lineRule="auto"/>
              <w:jc w:val="both"/>
            </w:pPr>
          </w:p>
        </w:tc>
        <w:tc>
          <w:tcPr>
            <w:tcW w:w="2281" w:type="dxa"/>
            <w:shd w:val="clear" w:color="auto" w:fill="auto"/>
            <w:vAlign w:val="center"/>
            <w:hideMark/>
          </w:tcPr>
          <w:p w14:paraId="6FF6A6BB" w14:textId="77777777" w:rsidR="009E3AE6" w:rsidRPr="00C424C4" w:rsidRDefault="009E3AE6" w:rsidP="0025388F">
            <w:pPr>
              <w:pStyle w:val="Standard"/>
              <w:spacing w:line="276" w:lineRule="auto"/>
              <w:jc w:val="both"/>
              <w:rPr>
                <w:color w:val="000000"/>
              </w:rPr>
            </w:pPr>
            <w:r w:rsidRPr="00C424C4">
              <w:rPr>
                <w:color w:val="000000"/>
              </w:rPr>
              <w:t>Dace Mita</w:t>
            </w:r>
          </w:p>
          <w:p w14:paraId="6467588E" w14:textId="77777777" w:rsidR="009E3AE6" w:rsidRDefault="009E3AE6" w:rsidP="0025388F">
            <w:pPr>
              <w:pStyle w:val="Standard"/>
              <w:spacing w:line="276" w:lineRule="auto"/>
              <w:jc w:val="both"/>
            </w:pPr>
          </w:p>
        </w:tc>
      </w:tr>
      <w:tr w:rsidR="009E3AE6" w14:paraId="4E785B7E" w14:textId="77777777" w:rsidTr="0025388F">
        <w:tc>
          <w:tcPr>
            <w:tcW w:w="6025" w:type="dxa"/>
            <w:shd w:val="clear" w:color="auto" w:fill="auto"/>
          </w:tcPr>
          <w:p w14:paraId="552586FC" w14:textId="77777777" w:rsidR="009E3AE6" w:rsidRDefault="009E3AE6" w:rsidP="0025388F">
            <w:pPr>
              <w:pStyle w:val="Standard"/>
              <w:spacing w:line="276" w:lineRule="auto"/>
              <w:jc w:val="both"/>
            </w:pPr>
          </w:p>
        </w:tc>
        <w:tc>
          <w:tcPr>
            <w:tcW w:w="2281" w:type="dxa"/>
            <w:shd w:val="clear" w:color="auto" w:fill="auto"/>
            <w:vAlign w:val="center"/>
            <w:hideMark/>
          </w:tcPr>
          <w:p w14:paraId="1BB86790" w14:textId="77777777" w:rsidR="009E3AE6" w:rsidRPr="00C424C4" w:rsidRDefault="009E3AE6" w:rsidP="0025388F">
            <w:pPr>
              <w:pStyle w:val="Standard"/>
              <w:spacing w:line="276" w:lineRule="auto"/>
              <w:jc w:val="both"/>
              <w:rPr>
                <w:color w:val="000000"/>
              </w:rPr>
            </w:pPr>
            <w:r w:rsidRPr="00C424C4">
              <w:rPr>
                <w:color w:val="000000"/>
              </w:rPr>
              <w:t xml:space="preserve">Lauma Paegļkalna </w:t>
            </w:r>
          </w:p>
          <w:p w14:paraId="0C69B603" w14:textId="77777777" w:rsidR="009E3AE6" w:rsidRPr="00C424C4" w:rsidRDefault="009E3AE6" w:rsidP="0025388F">
            <w:pPr>
              <w:pStyle w:val="Standard"/>
              <w:spacing w:line="276" w:lineRule="auto"/>
              <w:jc w:val="both"/>
              <w:rPr>
                <w:color w:val="000000"/>
              </w:rPr>
            </w:pPr>
          </w:p>
        </w:tc>
      </w:tr>
      <w:tr w:rsidR="009E3AE6" w14:paraId="14D2B88E" w14:textId="77777777" w:rsidTr="0025388F">
        <w:tc>
          <w:tcPr>
            <w:tcW w:w="6025" w:type="dxa"/>
            <w:shd w:val="clear" w:color="auto" w:fill="auto"/>
          </w:tcPr>
          <w:p w14:paraId="7A5AD8C5" w14:textId="77777777" w:rsidR="009E3AE6" w:rsidRDefault="009E3AE6" w:rsidP="0025388F">
            <w:pPr>
              <w:pStyle w:val="Standard"/>
              <w:spacing w:line="276" w:lineRule="auto"/>
              <w:jc w:val="both"/>
            </w:pPr>
          </w:p>
        </w:tc>
        <w:tc>
          <w:tcPr>
            <w:tcW w:w="2281" w:type="dxa"/>
            <w:shd w:val="clear" w:color="auto" w:fill="auto"/>
            <w:vAlign w:val="center"/>
            <w:hideMark/>
          </w:tcPr>
          <w:p w14:paraId="0A3B0245" w14:textId="77777777" w:rsidR="009E3AE6" w:rsidRPr="00C424C4" w:rsidRDefault="009E3AE6" w:rsidP="0025388F">
            <w:pPr>
              <w:pStyle w:val="Standard"/>
              <w:spacing w:line="276" w:lineRule="auto"/>
              <w:jc w:val="both"/>
              <w:rPr>
                <w:color w:val="000000"/>
              </w:rPr>
            </w:pPr>
            <w:r w:rsidRPr="00C424C4">
              <w:rPr>
                <w:color w:val="000000"/>
              </w:rPr>
              <w:t>Inese Laura Zemīte</w:t>
            </w:r>
          </w:p>
        </w:tc>
      </w:tr>
    </w:tbl>
    <w:p w14:paraId="09A2B44E" w14:textId="77777777" w:rsidR="009E3AE6" w:rsidRDefault="009E3AE6" w:rsidP="009E3AE6">
      <w:pPr>
        <w:rPr>
          <w:rFonts w:cs="Times New Roman"/>
          <w:lang w:eastAsia="ar-SA"/>
        </w:rPr>
      </w:pPr>
    </w:p>
    <w:p w14:paraId="41EBD7B2" w14:textId="77777777" w:rsidR="009E3AE6" w:rsidRDefault="009E3AE6" w:rsidP="009E3AE6">
      <w:pPr>
        <w:jc w:val="center"/>
        <w:rPr>
          <w:rFonts w:cs="Times New Roman"/>
          <w:lang w:eastAsia="ar-SA"/>
        </w:rPr>
      </w:pPr>
      <w:r w:rsidRPr="00A236DB">
        <w:rPr>
          <w:rFonts w:cs="Times New Roman"/>
          <w:lang w:eastAsia="ar-SA"/>
        </w:rPr>
        <w:t>Dokuments parakstīts elektroniski ar drošu elektronisko parakstu un satur laika zīmogu.</w:t>
      </w:r>
    </w:p>
    <w:p w14:paraId="1A7DC670" w14:textId="77777777" w:rsidR="00676563" w:rsidRPr="008064AF" w:rsidRDefault="00676563" w:rsidP="00590DD3"/>
    <w:sectPr w:rsidR="00676563" w:rsidRPr="008064AF" w:rsidSect="00A810FD">
      <w:headerReference w:type="default" r:id="rId8"/>
      <w:footerReference w:type="default" r:id="rId9"/>
      <w:footerReference w:type="first" r:id="rId10"/>
      <w:pgSz w:w="11906" w:h="16838"/>
      <w:pgMar w:top="1134" w:right="1134" w:bottom="1134" w:left="1701" w:header="73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33C6E" w14:textId="77777777" w:rsidR="00AA76A2" w:rsidRDefault="00AA76A2">
      <w:pPr>
        <w:spacing w:after="0" w:line="240" w:lineRule="auto"/>
      </w:pPr>
      <w:r>
        <w:separator/>
      </w:r>
    </w:p>
  </w:endnote>
  <w:endnote w:type="continuationSeparator" w:id="0">
    <w:p w14:paraId="7A5A26B2" w14:textId="77777777" w:rsidR="00AA76A2" w:rsidRDefault="00AA76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856330"/>
      <w:docPartObj>
        <w:docPartGallery w:val="Page Numbers (Bottom of Page)"/>
        <w:docPartUnique/>
      </w:docPartObj>
    </w:sdtPr>
    <w:sdtEndPr>
      <w:rPr>
        <w:rFonts w:cs="Times New Roman"/>
      </w:rPr>
    </w:sdtEndPr>
    <w:sdtContent>
      <w:p w14:paraId="5C2335DF" w14:textId="77777777" w:rsidR="00A810FD" w:rsidRPr="009322D6" w:rsidRDefault="006C4EC1">
        <w:pPr>
          <w:pStyle w:val="Kjene"/>
          <w:jc w:val="center"/>
          <w:rPr>
            <w:rFonts w:cs="Times New Roman"/>
          </w:rPr>
        </w:pPr>
        <w:r w:rsidRPr="009322D6">
          <w:rPr>
            <w:rFonts w:cs="Times New Roman"/>
          </w:rPr>
          <w:fldChar w:fldCharType="begin"/>
        </w:r>
        <w:r w:rsidRPr="009322D6">
          <w:rPr>
            <w:rFonts w:cs="Times New Roman"/>
          </w:rPr>
          <w:instrText>PAGE   \* MERGEFORMAT</w:instrText>
        </w:r>
        <w:r w:rsidRPr="009322D6">
          <w:rPr>
            <w:rFonts w:cs="Times New Roman"/>
          </w:rPr>
          <w:fldChar w:fldCharType="separate"/>
        </w:r>
        <w:r>
          <w:rPr>
            <w:rFonts w:cs="Times New Roman"/>
            <w:noProof/>
          </w:rPr>
          <w:t>7</w:t>
        </w:r>
        <w:r w:rsidRPr="009322D6">
          <w:rPr>
            <w:rFonts w:cs="Times New Roman"/>
          </w:rPr>
          <w:fldChar w:fldCharType="end"/>
        </w:r>
      </w:p>
    </w:sdtContent>
  </w:sdt>
  <w:p w14:paraId="4DD6A28C" w14:textId="77777777" w:rsidR="00A810FD" w:rsidRDefault="00AA76A2">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40329" w14:textId="77777777" w:rsidR="00A810FD" w:rsidRDefault="00AA76A2">
    <w:pPr>
      <w:pStyle w:val="Kjene"/>
      <w:jc w:val="center"/>
    </w:pPr>
  </w:p>
  <w:p w14:paraId="6DCA2684" w14:textId="77777777" w:rsidR="00A810FD" w:rsidRDefault="00AA76A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6C9F1" w14:textId="77777777" w:rsidR="00AA76A2" w:rsidRDefault="00AA76A2">
      <w:pPr>
        <w:spacing w:after="0" w:line="240" w:lineRule="auto"/>
      </w:pPr>
      <w:r>
        <w:separator/>
      </w:r>
    </w:p>
  </w:footnote>
  <w:footnote w:type="continuationSeparator" w:id="0">
    <w:p w14:paraId="4087B403" w14:textId="77777777" w:rsidR="00AA76A2" w:rsidRDefault="00AA76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26E6" w14:textId="77777777" w:rsidR="00A810FD" w:rsidRDefault="00AA76A2">
    <w:pPr>
      <w:pStyle w:val="Galvene"/>
    </w:pPr>
  </w:p>
  <w:p w14:paraId="7FEC4E12" w14:textId="77777777" w:rsidR="00A810FD" w:rsidRDefault="00AA76A2">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59"/>
    <w:rsid w:val="00106471"/>
    <w:rsid w:val="00163279"/>
    <w:rsid w:val="001E087F"/>
    <w:rsid w:val="002205D5"/>
    <w:rsid w:val="002D7ECB"/>
    <w:rsid w:val="002F76AC"/>
    <w:rsid w:val="003450F3"/>
    <w:rsid w:val="00366EDB"/>
    <w:rsid w:val="004823EC"/>
    <w:rsid w:val="00590DD3"/>
    <w:rsid w:val="00675E5B"/>
    <w:rsid w:val="00676563"/>
    <w:rsid w:val="006C4EC1"/>
    <w:rsid w:val="007801B5"/>
    <w:rsid w:val="007E4290"/>
    <w:rsid w:val="008064AF"/>
    <w:rsid w:val="00976BDE"/>
    <w:rsid w:val="0098729B"/>
    <w:rsid w:val="009E3AE6"/>
    <w:rsid w:val="00AA76A2"/>
    <w:rsid w:val="00B16BA4"/>
    <w:rsid w:val="00B318FC"/>
    <w:rsid w:val="00C6138F"/>
    <w:rsid w:val="00CC3AA7"/>
    <w:rsid w:val="00CE3542"/>
    <w:rsid w:val="00D310CC"/>
    <w:rsid w:val="00D70159"/>
    <w:rsid w:val="00DF4DB1"/>
    <w:rsid w:val="00EF326A"/>
    <w:rsid w:val="00FC73A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CA85B"/>
  <w15:chartTrackingRefBased/>
  <w15:docId w15:val="{EE856B20-DED3-4425-AAAB-07421ED8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0DD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semiHidden/>
    <w:unhideWhenUsed/>
    <w:rsid w:val="00D70159"/>
    <w:pPr>
      <w:tabs>
        <w:tab w:val="center" w:pos="4513"/>
        <w:tab w:val="right" w:pos="9026"/>
      </w:tabs>
      <w:spacing w:after="0" w:line="240" w:lineRule="auto"/>
    </w:pPr>
  </w:style>
  <w:style w:type="character" w:customStyle="1" w:styleId="GalveneRakstz">
    <w:name w:val="Galvene Rakstz."/>
    <w:basedOn w:val="Noklusjumarindkopasfonts"/>
    <w:link w:val="Galvene"/>
    <w:uiPriority w:val="99"/>
    <w:semiHidden/>
    <w:rsid w:val="00D70159"/>
  </w:style>
  <w:style w:type="paragraph" w:styleId="Kjene">
    <w:name w:val="footer"/>
    <w:basedOn w:val="Parasts"/>
    <w:link w:val="KjeneRakstz"/>
    <w:uiPriority w:val="99"/>
    <w:semiHidden/>
    <w:unhideWhenUsed/>
    <w:rsid w:val="00D70159"/>
    <w:pPr>
      <w:tabs>
        <w:tab w:val="center" w:pos="4513"/>
        <w:tab w:val="right" w:pos="9026"/>
      </w:tabs>
      <w:spacing w:after="0" w:line="240" w:lineRule="auto"/>
    </w:pPr>
  </w:style>
  <w:style w:type="character" w:customStyle="1" w:styleId="KjeneRakstz">
    <w:name w:val="Kājene Rakstz."/>
    <w:basedOn w:val="Noklusjumarindkopasfonts"/>
    <w:link w:val="Kjene"/>
    <w:uiPriority w:val="99"/>
    <w:semiHidden/>
    <w:rsid w:val="00D70159"/>
  </w:style>
  <w:style w:type="character" w:styleId="Hipersaite">
    <w:name w:val="Hyperlink"/>
    <w:basedOn w:val="Noklusjumarindkopasfonts"/>
    <w:uiPriority w:val="99"/>
    <w:unhideWhenUsed/>
    <w:rsid w:val="00D70159"/>
    <w:rPr>
      <w:color w:val="0000FF"/>
      <w:u w:val="single"/>
    </w:rPr>
  </w:style>
  <w:style w:type="character" w:styleId="Komentraatsauce">
    <w:name w:val="annotation reference"/>
    <w:basedOn w:val="Noklusjumarindkopasfonts"/>
    <w:uiPriority w:val="99"/>
    <w:semiHidden/>
    <w:unhideWhenUsed/>
    <w:rsid w:val="00D70159"/>
    <w:rPr>
      <w:sz w:val="16"/>
      <w:szCs w:val="16"/>
    </w:rPr>
  </w:style>
  <w:style w:type="paragraph" w:styleId="Komentrateksts">
    <w:name w:val="annotation text"/>
    <w:basedOn w:val="Parasts"/>
    <w:link w:val="KomentratekstsRakstz"/>
    <w:uiPriority w:val="99"/>
    <w:semiHidden/>
    <w:unhideWhenUsed/>
    <w:rsid w:val="00D70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70159"/>
    <w:rPr>
      <w:sz w:val="20"/>
      <w:szCs w:val="20"/>
    </w:rPr>
  </w:style>
  <w:style w:type="paragraph" w:styleId="Sarakstarindkopa">
    <w:name w:val="List Paragraph"/>
    <w:basedOn w:val="Parasts"/>
    <w:uiPriority w:val="34"/>
    <w:qFormat/>
    <w:rsid w:val="00DF4DB1"/>
    <w:pPr>
      <w:ind w:left="720"/>
      <w:contextualSpacing/>
    </w:pPr>
  </w:style>
  <w:style w:type="paragraph" w:customStyle="1" w:styleId="Standard">
    <w:name w:val="Standard"/>
    <w:uiPriority w:val="99"/>
    <w:rsid w:val="009E3AE6"/>
    <w:pPr>
      <w:widowControl w:val="0"/>
      <w:suppressAutoHyphens/>
      <w:autoSpaceDN w:val="0"/>
      <w:spacing w:after="0" w:line="240" w:lineRule="auto"/>
      <w:textAlignment w:val="baseline"/>
    </w:pPr>
    <w:rPr>
      <w:rFonts w:eastAsia="SimSun" w:cs="Arial"/>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iena.lv/latvija/politika/eksperti-reputacija-nav-juridiski-pieradama-lieta-1399688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ezaurs.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12029</Words>
  <Characters>6858</Characters>
  <Application>Microsoft Office Word</Application>
  <DocSecurity>0</DocSecurity>
  <Lines>57</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TĒK</dc:creator>
  <cp:keywords/>
  <dc:description/>
  <cp:lastModifiedBy>Liene Jākobsone</cp:lastModifiedBy>
  <cp:revision>8</cp:revision>
  <dcterms:created xsi:type="dcterms:W3CDTF">2021-05-04T16:47:00Z</dcterms:created>
  <dcterms:modified xsi:type="dcterms:W3CDTF">2021-05-06T08:57:00Z</dcterms:modified>
</cp:coreProperties>
</file>