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5CDE4" w14:textId="77777777" w:rsidR="00AF55F0" w:rsidRPr="00635DA3" w:rsidRDefault="00AF55F0" w:rsidP="00AF55F0">
      <w:pPr>
        <w:jc w:val="center"/>
        <w:rPr>
          <w:b/>
          <w:bCs/>
          <w:lang w:val="lv-LV"/>
        </w:rPr>
      </w:pPr>
      <w:r w:rsidRPr="00635DA3">
        <w:rPr>
          <w:b/>
          <w:bCs/>
          <w:lang w:val="lv-LV"/>
        </w:rPr>
        <w:t>Tiesnešu ētikas komisija</w:t>
      </w:r>
    </w:p>
    <w:p w14:paraId="21C86372" w14:textId="77777777" w:rsidR="00AF55F0" w:rsidRPr="00635DA3" w:rsidRDefault="00AF55F0" w:rsidP="00AF55F0">
      <w:pPr>
        <w:jc w:val="center"/>
        <w:rPr>
          <w:b/>
          <w:bCs/>
          <w:lang w:val="lv-LV"/>
        </w:rPr>
      </w:pPr>
      <w:r w:rsidRPr="00635DA3">
        <w:rPr>
          <w:b/>
          <w:bCs/>
          <w:lang w:val="lv-LV"/>
        </w:rPr>
        <w:t>SKAIDROJUMS</w:t>
      </w:r>
    </w:p>
    <w:p w14:paraId="1F9BC80F" w14:textId="77777777" w:rsidR="003D79AD" w:rsidRDefault="003D79AD" w:rsidP="00AF55F0">
      <w:pPr>
        <w:tabs>
          <w:tab w:val="left" w:pos="7088"/>
        </w:tabs>
        <w:spacing w:after="0"/>
        <w:jc w:val="both"/>
        <w:rPr>
          <w:szCs w:val="24"/>
          <w:lang w:val="lv-LV"/>
        </w:rPr>
      </w:pPr>
    </w:p>
    <w:p w14:paraId="3656B168" w14:textId="77777777" w:rsidR="00AF55F0" w:rsidRPr="00635DA3" w:rsidRDefault="00AF55F0" w:rsidP="00AF55F0">
      <w:pPr>
        <w:tabs>
          <w:tab w:val="left" w:pos="7088"/>
        </w:tabs>
        <w:spacing w:after="0"/>
        <w:jc w:val="both"/>
        <w:rPr>
          <w:szCs w:val="24"/>
          <w:lang w:val="lv-LV"/>
        </w:rPr>
      </w:pPr>
      <w:r>
        <w:rPr>
          <w:szCs w:val="24"/>
          <w:lang w:val="lv-LV"/>
        </w:rPr>
        <w:t xml:space="preserve">Rīgā </w:t>
      </w:r>
      <w:r>
        <w:rPr>
          <w:szCs w:val="24"/>
          <w:lang w:val="lv-LV"/>
        </w:rPr>
        <w:tab/>
        <w:t>2023.gada 17.februārī</w:t>
      </w:r>
    </w:p>
    <w:p w14:paraId="36E0A0F9" w14:textId="77777777" w:rsidR="00AF55F0" w:rsidRPr="00635DA3" w:rsidRDefault="00AF55F0" w:rsidP="00AF55F0">
      <w:pPr>
        <w:jc w:val="center"/>
        <w:rPr>
          <w:b/>
          <w:bCs/>
          <w:lang w:val="lv-LV"/>
        </w:rPr>
      </w:pPr>
    </w:p>
    <w:p w14:paraId="628C4127" w14:textId="77777777" w:rsidR="00AF55F0" w:rsidRPr="00635DA3" w:rsidRDefault="00AF55F0" w:rsidP="00AF55F0">
      <w:pPr>
        <w:spacing w:after="0" w:line="276" w:lineRule="auto"/>
        <w:ind w:firstLine="720"/>
        <w:jc w:val="both"/>
        <w:rPr>
          <w:szCs w:val="24"/>
          <w:lang w:val="lv-LV"/>
        </w:rPr>
      </w:pPr>
      <w:r w:rsidRPr="00635DA3">
        <w:rPr>
          <w:szCs w:val="24"/>
          <w:lang w:val="lv-LV"/>
        </w:rPr>
        <w:t>[1] Tiesnešu ētikas komisija ir saņēmusi Tieslietu padomes iesniegumu ar lūgumu sniegt skaidrojumu:</w:t>
      </w:r>
    </w:p>
    <w:p w14:paraId="39AC670F" w14:textId="77777777" w:rsidR="00AF55F0" w:rsidRPr="00635DA3" w:rsidRDefault="00AF55F0" w:rsidP="00AF55F0">
      <w:pPr>
        <w:spacing w:after="0" w:line="276" w:lineRule="auto"/>
        <w:ind w:firstLine="720"/>
        <w:jc w:val="both"/>
        <w:rPr>
          <w:szCs w:val="24"/>
          <w:lang w:val="lv-LV"/>
        </w:rPr>
      </w:pPr>
      <w:r w:rsidRPr="00635DA3">
        <w:rPr>
          <w:szCs w:val="24"/>
          <w:lang w:val="lv-LV"/>
        </w:rPr>
        <w:t>1) vai tiesneša rīcība</w:t>
      </w:r>
      <w:r>
        <w:rPr>
          <w:szCs w:val="24"/>
          <w:lang w:val="lv-LV"/>
        </w:rPr>
        <w:t>,</w:t>
      </w:r>
      <w:r w:rsidRPr="00635DA3">
        <w:rPr>
          <w:szCs w:val="24"/>
          <w:lang w:val="lv-LV"/>
        </w:rPr>
        <w:t xml:space="preserve"> rīkojoties nekonsekventi un salīdzināmos faktiskos apstākļos pieņemot pretējus lēmumus par pieteikta noraidījuma civillietā pieņemšanu, rada Tiesnešu ētikas kodeksa normu pārkāpumu;</w:t>
      </w:r>
    </w:p>
    <w:p w14:paraId="25FA87E3" w14:textId="77777777" w:rsidR="00AF55F0" w:rsidRPr="00635DA3" w:rsidRDefault="00AF55F0" w:rsidP="00AF55F0">
      <w:pPr>
        <w:spacing w:after="0" w:line="276" w:lineRule="auto"/>
        <w:ind w:firstLine="720"/>
        <w:jc w:val="both"/>
        <w:rPr>
          <w:szCs w:val="24"/>
          <w:lang w:val="lv-LV"/>
        </w:rPr>
      </w:pPr>
      <w:r w:rsidRPr="00635DA3">
        <w:rPr>
          <w:szCs w:val="24"/>
          <w:lang w:val="lv-LV"/>
        </w:rPr>
        <w:t>2) vai un kā Tieslietu padomes izskatīt</w:t>
      </w:r>
      <w:r>
        <w:rPr>
          <w:szCs w:val="24"/>
          <w:lang w:val="lv-LV"/>
        </w:rPr>
        <w:t>ā</w:t>
      </w:r>
      <w:r w:rsidRPr="00635DA3">
        <w:rPr>
          <w:szCs w:val="24"/>
          <w:lang w:val="lv-LV"/>
        </w:rPr>
        <w:t xml:space="preserve"> Ziņojum</w:t>
      </w:r>
      <w:r>
        <w:rPr>
          <w:szCs w:val="24"/>
          <w:lang w:val="lv-LV"/>
        </w:rPr>
        <w:t>a</w:t>
      </w:r>
      <w:r w:rsidRPr="00635DA3">
        <w:rPr>
          <w:szCs w:val="24"/>
          <w:lang w:val="lv-LV"/>
        </w:rPr>
        <w:t xml:space="preserve"> par tiesneš</w:t>
      </w:r>
      <w:r>
        <w:rPr>
          <w:szCs w:val="24"/>
          <w:lang w:val="lv-LV"/>
        </w:rPr>
        <w:t>u</w:t>
      </w:r>
      <w:r w:rsidRPr="00635DA3">
        <w:rPr>
          <w:szCs w:val="24"/>
          <w:lang w:val="lv-LV"/>
        </w:rPr>
        <w:t xml:space="preserve"> specializāciju un lietu sadali maksātnespējas jomā pirmās instances tiesās laika posmā no 2008.gada līdz 2014.gadam</w:t>
      </w:r>
      <w:r w:rsidR="00485A16">
        <w:rPr>
          <w:szCs w:val="24"/>
          <w:lang w:val="lv-LV"/>
        </w:rPr>
        <w:t xml:space="preserve"> (turpmāk – Ziņojums)</w:t>
      </w:r>
      <w:r w:rsidRPr="00635DA3">
        <w:rPr>
          <w:szCs w:val="24"/>
          <w:lang w:val="lv-LV"/>
        </w:rPr>
        <w:t xml:space="preserve"> publicēšana tajā minētajiem tiesnešiem</w:t>
      </w:r>
      <w:r>
        <w:rPr>
          <w:color w:val="7030A0"/>
          <w:szCs w:val="24"/>
          <w:lang w:val="lv-LV"/>
        </w:rPr>
        <w:t xml:space="preserve"> </w:t>
      </w:r>
      <w:r w:rsidRPr="00485A16">
        <w:rPr>
          <w:szCs w:val="24"/>
          <w:lang w:val="lv-LV"/>
        </w:rPr>
        <w:t xml:space="preserve">atbilstoši Tiesnešu ētikas kodeksa normām </w:t>
      </w:r>
      <w:r w:rsidRPr="00635DA3">
        <w:rPr>
          <w:szCs w:val="24"/>
          <w:lang w:val="lv-LV"/>
        </w:rPr>
        <w:t>rada apstākļus</w:t>
      </w:r>
      <w:r>
        <w:rPr>
          <w:szCs w:val="24"/>
          <w:lang w:val="lv-LV"/>
        </w:rPr>
        <w:t xml:space="preserve"> </w:t>
      </w:r>
      <w:r w:rsidRPr="00485A16">
        <w:rPr>
          <w:szCs w:val="24"/>
          <w:lang w:val="lv-LV"/>
        </w:rPr>
        <w:t>sevis atstatīšanai no konkrētu lietu izskatīšanas vai noraidījuma pieņemšanai tajās</w:t>
      </w:r>
      <w:r w:rsidR="00485A16" w:rsidRPr="00485A16">
        <w:rPr>
          <w:szCs w:val="24"/>
          <w:lang w:val="lv-LV"/>
        </w:rPr>
        <w:t>,</w:t>
      </w:r>
      <w:r w:rsidRPr="009C77A4">
        <w:rPr>
          <w:color w:val="7030A0"/>
          <w:szCs w:val="24"/>
          <w:lang w:val="lv-LV"/>
        </w:rPr>
        <w:t xml:space="preserve"> </w:t>
      </w:r>
      <w:r w:rsidRPr="00635DA3">
        <w:rPr>
          <w:szCs w:val="24"/>
          <w:lang w:val="lv-LV"/>
        </w:rPr>
        <w:t>ja lietas dalībnieki atsaukušies uz Ziņojumu, tād</w:t>
      </w:r>
      <w:r w:rsidRPr="004957AF">
        <w:rPr>
          <w:szCs w:val="24"/>
          <w:lang w:val="lv-LV"/>
        </w:rPr>
        <w:t>ē</w:t>
      </w:r>
      <w:r w:rsidRPr="00635DA3">
        <w:rPr>
          <w:szCs w:val="24"/>
          <w:lang w:val="lv-LV"/>
        </w:rPr>
        <w:t>jādi apšaubot tiesneša objektivitāti.</w:t>
      </w:r>
    </w:p>
    <w:p w14:paraId="173BD65A" w14:textId="57BDAD11" w:rsidR="00AF55F0" w:rsidRPr="00485A16" w:rsidRDefault="00AF55F0" w:rsidP="00AF55F0">
      <w:pPr>
        <w:spacing w:after="0" w:line="276" w:lineRule="auto"/>
        <w:ind w:firstLine="720"/>
        <w:jc w:val="both"/>
        <w:rPr>
          <w:szCs w:val="24"/>
          <w:lang w:val="lv-LV"/>
        </w:rPr>
      </w:pPr>
      <w:r w:rsidRPr="00635DA3">
        <w:rPr>
          <w:szCs w:val="24"/>
          <w:lang w:val="lv-LV"/>
        </w:rPr>
        <w:t>Augstākās tiesas mājaslap</w:t>
      </w:r>
      <w:r>
        <w:rPr>
          <w:szCs w:val="24"/>
          <w:lang w:val="lv-LV"/>
        </w:rPr>
        <w:t xml:space="preserve">ā Tieslietu padomes sadaļā </w:t>
      </w:r>
      <w:r w:rsidRPr="00EA06AA">
        <w:rPr>
          <w:lang w:val="lv-LV"/>
        </w:rPr>
        <w:t>„</w:t>
      </w:r>
      <w:r>
        <w:rPr>
          <w:szCs w:val="24"/>
          <w:lang w:val="lv-LV"/>
        </w:rPr>
        <w:t>Pētī</w:t>
      </w:r>
      <w:r w:rsidRPr="00635DA3">
        <w:rPr>
          <w:szCs w:val="24"/>
          <w:lang w:val="lv-LV"/>
        </w:rPr>
        <w:t xml:space="preserve">jumi, apkopojumi, prezentācijas” ir publicēts ekspertu komisijas ziņojums </w:t>
      </w:r>
      <w:r w:rsidR="004957AF">
        <w:rPr>
          <w:lang w:val="lv-LV"/>
        </w:rPr>
        <w:t>,,</w:t>
      </w:r>
      <w:hyperlink r:id="rId7" w:history="1">
        <w:r w:rsidRPr="00485A16">
          <w:rPr>
            <w:rStyle w:val="Hipersaite"/>
            <w:color w:val="auto"/>
            <w:szCs w:val="24"/>
            <w:u w:val="none"/>
            <w:lang w:val="lv-LV"/>
          </w:rPr>
          <w:t>Maksātnespējas procesa un tiesiskās aizsardzības procesa tiesvedību 2008.</w:t>
        </w:r>
        <w:r w:rsidR="00485A16">
          <w:rPr>
            <w:lang w:val="lv-LV"/>
          </w:rPr>
          <w:t>-</w:t>
        </w:r>
        <w:r w:rsidRPr="00485A16">
          <w:rPr>
            <w:rStyle w:val="Hipersaite"/>
            <w:color w:val="auto"/>
            <w:szCs w:val="24"/>
            <w:u w:val="none"/>
            <w:lang w:val="lv-LV"/>
          </w:rPr>
          <w:t xml:space="preserve">2014.gadā </w:t>
        </w:r>
        <w:proofErr w:type="spellStart"/>
        <w:r w:rsidRPr="00485A16">
          <w:rPr>
            <w:rStyle w:val="Hipersaite"/>
            <w:color w:val="auto"/>
            <w:szCs w:val="24"/>
            <w:u w:val="none"/>
            <w:lang w:val="lv-LV"/>
          </w:rPr>
          <w:t>izvērtējums</w:t>
        </w:r>
        <w:proofErr w:type="spellEnd"/>
      </w:hyperlink>
      <w:r w:rsidRPr="00485A16">
        <w:rPr>
          <w:szCs w:val="24"/>
          <w:lang w:val="lv-LV"/>
        </w:rPr>
        <w:t>”.</w:t>
      </w:r>
      <w:r w:rsidR="00485A16">
        <w:rPr>
          <w:szCs w:val="24"/>
          <w:lang w:val="lv-LV"/>
        </w:rPr>
        <w:t xml:space="preserve"> </w:t>
      </w:r>
      <w:r w:rsidRPr="00635DA3">
        <w:rPr>
          <w:szCs w:val="24"/>
          <w:lang w:val="lv-LV"/>
        </w:rPr>
        <w:t xml:space="preserve">Ziņojumā apkopotas un analizētas maksātnespējas procesa un tiesiskās aizsardzības procesa lietas, kurās apmierināti protesti, kā arī izlases veidā </w:t>
      </w:r>
      <w:r>
        <w:rPr>
          <w:szCs w:val="24"/>
          <w:lang w:val="lv-LV"/>
        </w:rPr>
        <w:t xml:space="preserve">izpētītas </w:t>
      </w:r>
      <w:r w:rsidRPr="00635DA3">
        <w:rPr>
          <w:szCs w:val="24"/>
          <w:lang w:val="lv-LV"/>
        </w:rPr>
        <w:t>liet</w:t>
      </w:r>
      <w:r>
        <w:rPr>
          <w:szCs w:val="24"/>
          <w:lang w:val="lv-LV"/>
        </w:rPr>
        <w:t>as</w:t>
      </w:r>
      <w:r w:rsidRPr="00635DA3">
        <w:rPr>
          <w:szCs w:val="24"/>
          <w:lang w:val="lv-LV"/>
        </w:rPr>
        <w:t>, kurās protests nav iesniegts</w:t>
      </w:r>
      <w:r w:rsidRPr="001659E8">
        <w:rPr>
          <w:color w:val="7030A0"/>
          <w:szCs w:val="24"/>
          <w:lang w:val="lv-LV"/>
        </w:rPr>
        <w:t>,</w:t>
      </w:r>
      <w:r>
        <w:rPr>
          <w:szCs w:val="24"/>
          <w:lang w:val="lv-LV"/>
        </w:rPr>
        <w:t xml:space="preserve"> </w:t>
      </w:r>
      <w:r w:rsidRPr="00485A16">
        <w:rPr>
          <w:szCs w:val="24"/>
          <w:lang w:val="lv-LV"/>
        </w:rPr>
        <w:t>tai skaitā</w:t>
      </w:r>
      <w:r w:rsidR="00485A16" w:rsidRPr="00485A16">
        <w:rPr>
          <w:szCs w:val="24"/>
          <w:lang w:val="lv-LV"/>
        </w:rPr>
        <w:t xml:space="preserve"> </w:t>
      </w:r>
      <w:r w:rsidRPr="00485A16">
        <w:rPr>
          <w:szCs w:val="24"/>
          <w:lang w:val="lv-LV"/>
        </w:rPr>
        <w:t>analizēti tiesneša un citu tiesnešu pieņemtie nolēmumi un norādīti tiesnešu pieļautie pārkāpumi un kļūdas.</w:t>
      </w:r>
    </w:p>
    <w:p w14:paraId="6D9AE7BA" w14:textId="5DA3A68C" w:rsidR="00AF55F0" w:rsidRPr="0071521E" w:rsidRDefault="00AF55F0" w:rsidP="00AF55F0">
      <w:pPr>
        <w:spacing w:after="0" w:line="276" w:lineRule="auto"/>
        <w:ind w:firstLine="720"/>
        <w:jc w:val="both"/>
        <w:rPr>
          <w:szCs w:val="24"/>
          <w:lang w:val="lv-LV"/>
        </w:rPr>
      </w:pPr>
      <w:r w:rsidRPr="0071521E">
        <w:rPr>
          <w:szCs w:val="24"/>
          <w:lang w:val="lv-LV"/>
        </w:rPr>
        <w:t xml:space="preserve">Lūgums sniegt skaidrojumu pamatots ar to, ka Tieslietu padomē saņemts </w:t>
      </w:r>
      <w:bookmarkStart w:id="0" w:name="_Hlk129178684"/>
      <w:r w:rsidRPr="0071521E">
        <w:rPr>
          <w:szCs w:val="24"/>
          <w:lang w:val="lv-LV"/>
        </w:rPr>
        <w:t>tiesneša</w:t>
      </w:r>
      <w:bookmarkEnd w:id="0"/>
      <w:r w:rsidRPr="0071521E">
        <w:rPr>
          <w:szCs w:val="24"/>
          <w:lang w:val="lv-LV"/>
        </w:rPr>
        <w:t xml:space="preserve"> iesniegums, kurā viņš paudis bažas par situācij</w:t>
      </w:r>
      <w:r w:rsidR="0071521E" w:rsidRPr="0071521E">
        <w:rPr>
          <w:szCs w:val="24"/>
          <w:lang w:val="lv-LV"/>
        </w:rPr>
        <w:t>ām</w:t>
      </w:r>
      <w:r w:rsidRPr="0071521E">
        <w:rPr>
          <w:szCs w:val="24"/>
          <w:lang w:val="lv-LV"/>
        </w:rPr>
        <w:t>, k</w:t>
      </w:r>
      <w:r w:rsidR="0071521E">
        <w:rPr>
          <w:szCs w:val="24"/>
          <w:lang w:val="lv-LV"/>
        </w:rPr>
        <w:t>ad</w:t>
      </w:r>
      <w:r w:rsidRPr="0071521E">
        <w:rPr>
          <w:szCs w:val="24"/>
          <w:lang w:val="lv-LV"/>
        </w:rPr>
        <w:t xml:space="preserve"> atsevišķi lietas dalībnieki Ziņojumu norād</w:t>
      </w:r>
      <w:r w:rsidR="0071521E" w:rsidRPr="0071521E">
        <w:rPr>
          <w:szCs w:val="24"/>
          <w:lang w:val="lv-LV"/>
        </w:rPr>
        <w:t>ījuši</w:t>
      </w:r>
      <w:r w:rsidRPr="0071521E">
        <w:rPr>
          <w:szCs w:val="24"/>
          <w:lang w:val="lv-LV"/>
        </w:rPr>
        <w:t xml:space="preserve"> kā iemeslu, lai pieteiktu tiesnesim noraidījumu, apšaubot viņa objektivitāti konkrētajās lietās. Tiesnesis izteicis viedokli, ka minētais rada tiesnesim cilvēktiesību aizskārumu un grauj reputāciju, tādēļ lūdzis izņemt Ziņojumu no mājaslapas. Tieslietu padome pieņēmusi lēmumu nemainīt Ziņojuma publisko pieejamību, akcentējot tā </w:t>
      </w:r>
      <w:r w:rsidR="0071521E" w:rsidRPr="0071521E">
        <w:rPr>
          <w:szCs w:val="24"/>
          <w:lang w:val="lv-LV"/>
        </w:rPr>
        <w:t>aktualitāti un</w:t>
      </w:r>
      <w:r w:rsidRPr="0071521E">
        <w:rPr>
          <w:szCs w:val="24"/>
          <w:lang w:val="lv-LV"/>
        </w:rPr>
        <w:t xml:space="preserve"> nozīmi tiesu varas darbības atklātības principa kontekstā. Tiesnesis informējis Tieslietu padomi par savu rīcību saistībā ar Ziņojuma publisko pieejamību, proti, vienā lietā </w:t>
      </w:r>
      <w:r w:rsidR="003D79AD">
        <w:rPr>
          <w:szCs w:val="24"/>
          <w:lang w:val="lv-LV"/>
        </w:rPr>
        <w:t xml:space="preserve">pieņēmis pieteikto noraidījumu, </w:t>
      </w:r>
      <w:r w:rsidRPr="0071521E">
        <w:rPr>
          <w:szCs w:val="24"/>
          <w:lang w:val="lv-LV"/>
        </w:rPr>
        <w:t>kura pamatojumā lietas dalībnieks atsaucies uz Ziņojumu. Tiesnesim</w:t>
      </w:r>
      <w:r w:rsidR="0071521E" w:rsidRPr="0071521E">
        <w:rPr>
          <w:szCs w:val="24"/>
          <w:lang w:val="lv-LV"/>
        </w:rPr>
        <w:t xml:space="preserve"> iepriekš</w:t>
      </w:r>
      <w:r w:rsidRPr="0071521E">
        <w:rPr>
          <w:szCs w:val="24"/>
          <w:lang w:val="lv-LV"/>
        </w:rPr>
        <w:t xml:space="preserve"> divās citās lietās arī pieteikti noraidījumi, tieši vai netieši atsau</w:t>
      </w:r>
      <w:r w:rsidR="0071521E">
        <w:rPr>
          <w:szCs w:val="24"/>
          <w:lang w:val="lv-LV"/>
        </w:rPr>
        <w:t>cotie</w:t>
      </w:r>
      <w:r w:rsidRPr="0071521E">
        <w:rPr>
          <w:szCs w:val="24"/>
          <w:lang w:val="lv-LV"/>
        </w:rPr>
        <w:t>s uz Ziņojumu, taču tajās viņš pieteiktos noraidījumus nav pieņēmis. Tieslietu padome tiesneša rīcību lūgusi izvērtēt tiesas priekšsēdētājai, kura nav konstatējusi pamatu disciplinārlietas ierosināšanai.</w:t>
      </w:r>
    </w:p>
    <w:p w14:paraId="6AB8AAC7" w14:textId="77777777" w:rsidR="00AF55F0" w:rsidRPr="00635DA3" w:rsidRDefault="00AF55F0" w:rsidP="00AF55F0">
      <w:pPr>
        <w:spacing w:after="0" w:line="276" w:lineRule="auto"/>
        <w:ind w:firstLine="720"/>
        <w:jc w:val="both"/>
        <w:rPr>
          <w:szCs w:val="24"/>
          <w:lang w:val="lv-LV"/>
        </w:rPr>
      </w:pPr>
    </w:p>
    <w:p w14:paraId="497C76D3" w14:textId="77777777" w:rsidR="00AF55F0" w:rsidRDefault="00AF55F0" w:rsidP="00AF55F0">
      <w:pPr>
        <w:spacing w:after="0" w:line="276" w:lineRule="auto"/>
        <w:ind w:firstLine="720"/>
        <w:jc w:val="both"/>
        <w:rPr>
          <w:bCs/>
          <w:lang w:val="lv-LV"/>
        </w:rPr>
      </w:pPr>
      <w:r w:rsidRPr="00635DA3">
        <w:rPr>
          <w:lang w:val="lv-LV"/>
        </w:rPr>
        <w:t xml:space="preserve">[2] Atbilstoši </w:t>
      </w:r>
      <w:r w:rsidRPr="00635DA3">
        <w:rPr>
          <w:bCs/>
          <w:lang w:val="lv-LV"/>
        </w:rPr>
        <w:t>likuma „Par tiesu varu”</w:t>
      </w:r>
      <w:r w:rsidRPr="00635DA3">
        <w:rPr>
          <w:rFonts w:eastAsia="Calibri" w:cs="Times New Roman"/>
          <w:bCs/>
          <w:szCs w:val="24"/>
          <w:lang w:val="lv-LV" w:eastAsia="lv-LV"/>
        </w:rPr>
        <w:t xml:space="preserve"> </w:t>
      </w:r>
      <w:r w:rsidRPr="00635DA3">
        <w:rPr>
          <w:bCs/>
          <w:lang w:val="lv-LV"/>
        </w:rPr>
        <w:t>91.</w:t>
      </w:r>
      <w:r w:rsidRPr="00635DA3">
        <w:rPr>
          <w:bCs/>
          <w:vertAlign w:val="superscript"/>
          <w:lang w:val="lv-LV"/>
        </w:rPr>
        <w:t>2</w:t>
      </w:r>
      <w:r w:rsidRPr="00635DA3">
        <w:rPr>
          <w:bCs/>
          <w:lang w:val="lv-LV"/>
        </w:rPr>
        <w:t xml:space="preserve"> panta 2.punktam Tiesnešu ētikas komisija pēc savas iniciatīvas vai tiesnešu lūguma skaidro un analizē Tiesnešu ētikas kodeksa normas, kā arī konsultē tiesnešus par tiesnešu ētikas jautājumiem.</w:t>
      </w:r>
    </w:p>
    <w:p w14:paraId="46E75106" w14:textId="77777777" w:rsidR="00AF55F0" w:rsidRDefault="00AF55F0" w:rsidP="00AF55F0">
      <w:pPr>
        <w:spacing w:after="0" w:line="276" w:lineRule="auto"/>
        <w:ind w:firstLine="720"/>
        <w:jc w:val="both"/>
        <w:rPr>
          <w:bCs/>
          <w:lang w:val="lv-LV"/>
        </w:rPr>
      </w:pPr>
    </w:p>
    <w:p w14:paraId="331C1AE3" w14:textId="77777777" w:rsidR="00AF55F0" w:rsidRPr="000877F3" w:rsidRDefault="00AF55F0" w:rsidP="00AF55F0">
      <w:pPr>
        <w:spacing w:after="0" w:line="276" w:lineRule="auto"/>
        <w:ind w:firstLine="720"/>
        <w:jc w:val="both"/>
        <w:rPr>
          <w:color w:val="7030A0"/>
          <w:lang w:val="lv-LV"/>
        </w:rPr>
      </w:pPr>
      <w:r w:rsidRPr="000877F3">
        <w:rPr>
          <w:bCs/>
          <w:lang w:val="lv-LV"/>
        </w:rPr>
        <w:t>[3]</w:t>
      </w:r>
      <w:r w:rsidRPr="000877F3">
        <w:rPr>
          <w:lang w:val="lv-LV"/>
        </w:rPr>
        <w:t> Pieteikt</w:t>
      </w:r>
      <w:r w:rsidR="003D79AD">
        <w:rPr>
          <w:lang w:val="lv-LV"/>
        </w:rPr>
        <w:t>a</w:t>
      </w:r>
      <w:r w:rsidRPr="000877F3">
        <w:rPr>
          <w:lang w:val="lv-LV"/>
        </w:rPr>
        <w:t xml:space="preserve"> </w:t>
      </w:r>
      <w:r w:rsidRPr="00635DA3">
        <w:rPr>
          <w:lang w:val="lv-LV"/>
        </w:rPr>
        <w:t>noraidījuma izlemšana ir procesuāls lēmums, kas balstās uz konkrētā lietā izvirzītiem individuāliem apstākļiem, kas ļauj apšaubīt tiesneša objektivitāti</w:t>
      </w:r>
      <w:r w:rsidR="0071521E" w:rsidRPr="0071521E">
        <w:rPr>
          <w:color w:val="7030A0"/>
          <w:lang w:val="lv-LV"/>
        </w:rPr>
        <w:t>,</w:t>
      </w:r>
      <w:r w:rsidRPr="00635DA3">
        <w:rPr>
          <w:lang w:val="lv-LV"/>
        </w:rPr>
        <w:t xml:space="preserve"> izskat</w:t>
      </w:r>
      <w:r>
        <w:rPr>
          <w:lang w:val="lv-LV"/>
        </w:rPr>
        <w:t>ot</w:t>
      </w:r>
      <w:r w:rsidRPr="00635DA3">
        <w:rPr>
          <w:lang w:val="lv-LV"/>
        </w:rPr>
        <w:t xml:space="preserve"> lietu.</w:t>
      </w:r>
      <w:r w:rsidRPr="00635DA3">
        <w:rPr>
          <w:rFonts w:eastAsia="Times New Roman" w:cs="Times New Roman"/>
          <w:szCs w:val="24"/>
          <w:lang w:val="lv-LV"/>
        </w:rPr>
        <w:t xml:space="preserve"> Atbilstoši Tiesnešu ētikas kodek</w:t>
      </w:r>
      <w:r>
        <w:rPr>
          <w:rFonts w:eastAsia="Times New Roman" w:cs="Times New Roman"/>
          <w:szCs w:val="24"/>
          <w:lang w:val="lv-LV"/>
        </w:rPr>
        <w:t>sa</w:t>
      </w:r>
      <w:r w:rsidRPr="00635DA3">
        <w:rPr>
          <w:rFonts w:eastAsia="Times New Roman" w:cs="Times New Roman"/>
          <w:szCs w:val="24"/>
          <w:lang w:val="lv-LV"/>
        </w:rPr>
        <w:t xml:space="preserve"> 1.kanona 1.2</w:t>
      </w:r>
      <w:r>
        <w:rPr>
          <w:rFonts w:eastAsia="Times New Roman" w:cs="Times New Roman"/>
          <w:szCs w:val="24"/>
          <w:lang w:val="lv-LV"/>
        </w:rPr>
        <w:t>.</w:t>
      </w:r>
      <w:r w:rsidRPr="00635DA3">
        <w:rPr>
          <w:rFonts w:eastAsia="Times New Roman" w:cs="Times New Roman"/>
          <w:szCs w:val="24"/>
          <w:lang w:val="lv-LV"/>
        </w:rPr>
        <w:t xml:space="preserve">apakšpunktam tiesnesis savus amata pienākumus </w:t>
      </w:r>
      <w:r w:rsidRPr="00635DA3">
        <w:rPr>
          <w:rFonts w:eastAsia="Times New Roman" w:cs="Times New Roman"/>
          <w:szCs w:val="24"/>
          <w:lang w:val="lv-LV"/>
        </w:rPr>
        <w:lastRenderedPageBreak/>
        <w:t xml:space="preserve">veic neatkarīgi, patstāvīgi izvērtējot konkrētos faktus un saskaņā ar dziļu tiesību izpratni, būdams brīvs no jebkādas tiešas vai netiešas ārējas ietekmes, pamudinājuma, spiediena, draudiem vai iejaukšanās. Tiesnesim ir jāatsakās no piedalīšanās jebkurā tiesas prāvā, kurā tiesnesis nespēj pieņemt spriedumu objektīvi vai arī kurā pēc neatkarīga novērotāja domām tiesnesis nespēj pieņemt objektīvu spriedumu </w:t>
      </w:r>
      <w:r w:rsidRPr="00EA06AA">
        <w:rPr>
          <w:rFonts w:eastAsia="Times New Roman" w:cs="Times New Roman"/>
          <w:iCs/>
          <w:szCs w:val="24"/>
          <w:lang w:val="lv-LV"/>
        </w:rPr>
        <w:t>(</w:t>
      </w:r>
      <w:proofErr w:type="spellStart"/>
      <w:r w:rsidRPr="00635DA3">
        <w:rPr>
          <w:rFonts w:eastAsia="Times New Roman" w:cs="Times New Roman"/>
          <w:i/>
          <w:szCs w:val="24"/>
          <w:lang w:val="lv-LV"/>
        </w:rPr>
        <w:t>Bangaloras</w:t>
      </w:r>
      <w:proofErr w:type="spellEnd"/>
      <w:r w:rsidRPr="00635DA3">
        <w:rPr>
          <w:rFonts w:eastAsia="Times New Roman" w:cs="Times New Roman"/>
          <w:i/>
          <w:szCs w:val="24"/>
          <w:lang w:val="lv-LV"/>
        </w:rPr>
        <w:t xml:space="preserve"> Tiesnešu ētikas principu 2.5.punkts</w:t>
      </w:r>
      <w:r>
        <w:rPr>
          <w:rFonts w:eastAsia="Times New Roman" w:cs="Times New Roman"/>
          <w:iCs/>
          <w:szCs w:val="24"/>
          <w:lang w:val="lv-LV"/>
        </w:rPr>
        <w:t>)</w:t>
      </w:r>
      <w:r w:rsidR="0071521E">
        <w:rPr>
          <w:rFonts w:eastAsia="Times New Roman" w:cs="Times New Roman"/>
          <w:iCs/>
          <w:szCs w:val="24"/>
          <w:lang w:val="lv-LV"/>
        </w:rPr>
        <w:t xml:space="preserve">. </w:t>
      </w:r>
      <w:r w:rsidRPr="0071521E">
        <w:rPr>
          <w:rFonts w:eastAsia="Times New Roman" w:cs="Times New Roman"/>
          <w:szCs w:val="24"/>
          <w:lang w:val="lv-LV"/>
        </w:rPr>
        <w:t xml:space="preserve">Objektivitātes princips ir uzticības tiesai svarīgs elements, proti, demokrātiskā sabiedrībā tiesai (tiesnesim) jārīkojas tā, lai procesa dalībniekos radītu uzticību tiesai. </w:t>
      </w:r>
      <w:r w:rsidRPr="00635DA3">
        <w:rPr>
          <w:rFonts w:eastAsia="Times New Roman" w:cs="Times New Roman"/>
          <w:szCs w:val="24"/>
          <w:lang w:val="lv-LV"/>
        </w:rPr>
        <w:t>Tiesnešu ētikas komisija jau vairākkārt ir norādījusi, ka</w:t>
      </w:r>
      <w:r>
        <w:rPr>
          <w:rFonts w:eastAsia="Times New Roman" w:cs="Times New Roman"/>
          <w:szCs w:val="24"/>
          <w:lang w:val="lv-LV"/>
        </w:rPr>
        <w:t xml:space="preserve"> </w:t>
      </w:r>
      <w:r w:rsidRPr="0071521E">
        <w:rPr>
          <w:rFonts w:eastAsia="Times New Roman" w:cs="Times New Roman"/>
          <w:szCs w:val="24"/>
          <w:lang w:val="lv-LV"/>
        </w:rPr>
        <w:t>tiesneša objektivitāti var apšaubīt tikai tad, ja uz to norāda objektīvi pamatoti fakti, turklāt tie jāvērtē katrā konkrētā gadījumā, ņemot vērā konkrēto apstākļu raksturu, apjomu, nozīmīgumu. Vē</w:t>
      </w:r>
      <w:r w:rsidRPr="00635DA3">
        <w:rPr>
          <w:rFonts w:eastAsia="Times New Roman" w:cs="Times New Roman"/>
          <w:szCs w:val="24"/>
          <w:lang w:val="lv-LV"/>
        </w:rPr>
        <w:t>rtējot</w:t>
      </w:r>
      <w:r w:rsidR="0071521E">
        <w:rPr>
          <w:rFonts w:eastAsia="Times New Roman" w:cs="Times New Roman"/>
          <w:szCs w:val="24"/>
          <w:lang w:val="lv-LV"/>
        </w:rPr>
        <w:t>,</w:t>
      </w:r>
      <w:r w:rsidRPr="00635DA3">
        <w:rPr>
          <w:rFonts w:eastAsia="Times New Roman" w:cs="Times New Roman"/>
          <w:szCs w:val="24"/>
          <w:lang w:val="lv-LV"/>
        </w:rPr>
        <w:t xml:space="preserve"> atstatīt vai neatstatīt sevi no lietas skatīšanas, tiesnesim b</w:t>
      </w:r>
      <w:r w:rsidR="0071521E">
        <w:rPr>
          <w:rFonts w:eastAsia="Times New Roman" w:cs="Times New Roman"/>
          <w:szCs w:val="24"/>
          <w:lang w:val="lv-LV"/>
        </w:rPr>
        <w:t xml:space="preserve">ūtiski ir apsvērt, kā konkrētus </w:t>
      </w:r>
      <w:r w:rsidRPr="00635DA3">
        <w:rPr>
          <w:rFonts w:eastAsia="Times New Roman" w:cs="Times New Roman"/>
          <w:szCs w:val="24"/>
          <w:lang w:val="lv-LV"/>
        </w:rPr>
        <w:t xml:space="preserve">apstākļus vērtētu informēts un saprātīgs sabiedrības loceklis </w:t>
      </w:r>
      <w:r w:rsidRPr="00EA06AA">
        <w:rPr>
          <w:rFonts w:eastAsia="Times New Roman" w:cs="Times New Roman"/>
          <w:iCs/>
          <w:szCs w:val="24"/>
          <w:lang w:val="lv-LV"/>
        </w:rPr>
        <w:t>(sk.</w:t>
      </w:r>
      <w:r w:rsidR="0071521E">
        <w:rPr>
          <w:rFonts w:eastAsia="Times New Roman" w:cs="Times New Roman"/>
          <w:i/>
          <w:szCs w:val="24"/>
          <w:lang w:val="lv-LV"/>
        </w:rPr>
        <w:t xml:space="preserve"> </w:t>
      </w:r>
      <w:r w:rsidRPr="00635DA3">
        <w:rPr>
          <w:rFonts w:eastAsia="Times New Roman" w:cs="Times New Roman"/>
          <w:i/>
          <w:szCs w:val="24"/>
          <w:lang w:val="lv-LV"/>
        </w:rPr>
        <w:t>2008.gada 1.augusta atzinumu, 2009.gada 12.jūnija un 2010.gada 29.oktobra skaidrojumus</w:t>
      </w:r>
      <w:r w:rsidRPr="00EA06AA">
        <w:rPr>
          <w:rFonts w:eastAsia="Times New Roman" w:cs="Times New Roman"/>
          <w:iCs/>
          <w:szCs w:val="24"/>
          <w:lang w:val="lv-LV"/>
        </w:rPr>
        <w:t>)</w:t>
      </w:r>
      <w:r w:rsidRPr="00683E09">
        <w:rPr>
          <w:rFonts w:eastAsia="Times New Roman" w:cs="Times New Roman"/>
          <w:iCs/>
          <w:szCs w:val="24"/>
          <w:lang w:val="lv-LV"/>
        </w:rPr>
        <w:t>.</w:t>
      </w:r>
      <w:r w:rsidRPr="00635DA3">
        <w:rPr>
          <w:rFonts w:eastAsia="Times New Roman" w:cs="Times New Roman"/>
          <w:szCs w:val="24"/>
          <w:lang w:val="lv-LV"/>
        </w:rPr>
        <w:t xml:space="preserve"> Tāpat </w:t>
      </w:r>
      <w:r w:rsidRPr="00635DA3">
        <w:rPr>
          <w:lang w:val="lv-LV"/>
        </w:rPr>
        <w:t>Tiesnešu ētikas komisija jau iepriekš atzinusi, ka galvenais kritērijs jautājumā par sevis atstatīšanu no lietas izskatīšanas ir tiesneša kā nobriedušas un no nepamatotiem aizspriedumiem brīvas personības subjektīvais uzskats par spēju konkrēto lietu spriest objektīvi</w:t>
      </w:r>
      <w:r>
        <w:rPr>
          <w:lang w:val="lv-LV"/>
        </w:rPr>
        <w:t xml:space="preserve">. </w:t>
      </w:r>
      <w:r w:rsidR="0071521E">
        <w:rPr>
          <w:lang w:val="lv-LV"/>
        </w:rPr>
        <w:t>N</w:t>
      </w:r>
      <w:r w:rsidRPr="00635DA3">
        <w:rPr>
          <w:lang w:val="lv-LV"/>
        </w:rPr>
        <w:t xml:space="preserve">epastāvot pamatotiem pretargumentiem, sabiedrībai </w:t>
      </w:r>
      <w:r w:rsidR="0071521E">
        <w:rPr>
          <w:lang w:val="lv-LV"/>
        </w:rPr>
        <w:t xml:space="preserve">tas </w:t>
      </w:r>
      <w:r w:rsidRPr="00635DA3">
        <w:rPr>
          <w:lang w:val="lv-LV"/>
        </w:rPr>
        <w:t xml:space="preserve">ir jāciena un jārespektē </w:t>
      </w:r>
      <w:r w:rsidRPr="00EA06AA">
        <w:rPr>
          <w:iCs/>
          <w:lang w:val="lv-LV"/>
        </w:rPr>
        <w:t>(sk.</w:t>
      </w:r>
      <w:r w:rsidRPr="00635DA3">
        <w:rPr>
          <w:i/>
          <w:lang w:val="lv-LV"/>
        </w:rPr>
        <w:t xml:space="preserve"> 2011.gada 1.jūlija lēmumu</w:t>
      </w:r>
      <w:r w:rsidRPr="00EA06AA">
        <w:rPr>
          <w:iCs/>
          <w:lang w:val="lv-LV"/>
        </w:rPr>
        <w:t>)</w:t>
      </w:r>
      <w:r w:rsidRPr="00635DA3">
        <w:rPr>
          <w:lang w:val="lv-LV"/>
        </w:rPr>
        <w:t xml:space="preserve">. </w:t>
      </w:r>
    </w:p>
    <w:p w14:paraId="584049C9" w14:textId="317B6A95" w:rsidR="00AF55F0" w:rsidRPr="00D333C2" w:rsidRDefault="00AF55F0" w:rsidP="00AF55F0">
      <w:pPr>
        <w:spacing w:after="0" w:line="276" w:lineRule="auto"/>
        <w:ind w:firstLine="720"/>
        <w:jc w:val="both"/>
        <w:rPr>
          <w:lang w:val="lv-LV"/>
        </w:rPr>
      </w:pPr>
      <w:r w:rsidRPr="00D333C2">
        <w:rPr>
          <w:lang w:val="lv-LV"/>
        </w:rPr>
        <w:t>No iesniegumam pievienotajiem dokumentiem secināms, ka tiesnesim vairākās lietās pieteikti noraidījumi, apšaubot vi</w:t>
      </w:r>
      <w:r w:rsidR="00D333C2">
        <w:rPr>
          <w:lang w:val="lv-LV"/>
        </w:rPr>
        <w:t>ņa objektivitāti. Katrā lietā</w:t>
      </w:r>
      <w:r w:rsidRPr="00D333C2">
        <w:rPr>
          <w:lang w:val="lv-LV"/>
        </w:rPr>
        <w:t xml:space="preserve"> norādīti da</w:t>
      </w:r>
      <w:r w:rsidR="00D333C2" w:rsidRPr="00D333C2">
        <w:rPr>
          <w:lang w:val="lv-LV"/>
        </w:rPr>
        <w:t>žādi individuāli apstākļi, kuri</w:t>
      </w:r>
      <w:r w:rsidRPr="00D333C2">
        <w:rPr>
          <w:lang w:val="lv-LV"/>
        </w:rPr>
        <w:t xml:space="preserve"> noraidījuma pieteicēja ieskatā rada šaubas par tiesneša objektivitāti. Tomēr visās lietās </w:t>
      </w:r>
      <w:r w:rsidR="00D333C2" w:rsidRPr="00D333C2">
        <w:rPr>
          <w:lang w:val="lv-LV"/>
        </w:rPr>
        <w:t xml:space="preserve">kā viens no argumentiem norādīta tiesneša negatīvā publiskā reputācija, kas tiek pamatota ar atceltajiem tiesneša nolēmumiem citās lietās vai tiesnesim </w:t>
      </w:r>
      <w:r w:rsidRPr="00D333C2">
        <w:rPr>
          <w:lang w:val="lv-LV"/>
        </w:rPr>
        <w:t>publiski veltīto kritiku</w:t>
      </w:r>
      <w:r w:rsidR="00D333C2" w:rsidRPr="00D333C2">
        <w:rPr>
          <w:lang w:val="lv-LV"/>
        </w:rPr>
        <w:t>.</w:t>
      </w:r>
      <w:r w:rsidRPr="00D333C2">
        <w:rPr>
          <w:lang w:val="lv-LV"/>
        </w:rPr>
        <w:t xml:space="preserve"> Divos lēmumos, kuros noraidījums nav pieņemts, tiesnesis šādus pārmetumus ir argumentēti noraidījis, norādot, ka šie apstākļi ne</w:t>
      </w:r>
      <w:r w:rsidR="00D333C2" w:rsidRPr="00D333C2">
        <w:rPr>
          <w:lang w:val="lv-LV"/>
        </w:rPr>
        <w:t xml:space="preserve">var būt par </w:t>
      </w:r>
      <w:r w:rsidRPr="00D333C2">
        <w:rPr>
          <w:lang w:val="lv-LV"/>
        </w:rPr>
        <w:t>pamatu</w:t>
      </w:r>
      <w:r w:rsidR="00D333C2" w:rsidRPr="00D333C2">
        <w:rPr>
          <w:lang w:val="lv-LV"/>
        </w:rPr>
        <w:t>, lai</w:t>
      </w:r>
      <w:r w:rsidRPr="00D333C2">
        <w:rPr>
          <w:lang w:val="lv-LV"/>
        </w:rPr>
        <w:t xml:space="preserve"> apšaubīt</w:t>
      </w:r>
      <w:r w:rsidR="00D333C2" w:rsidRPr="00D333C2">
        <w:rPr>
          <w:lang w:val="lv-LV"/>
        </w:rPr>
        <w:t>u</w:t>
      </w:r>
      <w:r w:rsidRPr="00D333C2">
        <w:rPr>
          <w:lang w:val="lv-LV"/>
        </w:rPr>
        <w:t xml:space="preserve"> viņa neitralitāti un spēju objektīvi izskatīt konkrēto lietu. Taču vienā lēmumā, kurā noraidījums pieņemts, tiesnesis savu slikto reputāciju, kas izriet no Ziņojuma satura, ir atzinis </w:t>
      </w:r>
      <w:r w:rsidR="00D333C2" w:rsidRPr="00D333C2">
        <w:rPr>
          <w:lang w:val="lv-LV"/>
        </w:rPr>
        <w:t>par</w:t>
      </w:r>
      <w:r w:rsidRPr="00D333C2">
        <w:rPr>
          <w:lang w:val="lv-LV"/>
        </w:rPr>
        <w:t xml:space="preserve"> pamatu</w:t>
      </w:r>
      <w:r w:rsidR="00D333C2" w:rsidRPr="00D333C2">
        <w:rPr>
          <w:lang w:val="lv-LV"/>
        </w:rPr>
        <w:t>, lai</w:t>
      </w:r>
      <w:r w:rsidRPr="00D333C2">
        <w:rPr>
          <w:lang w:val="lv-LV"/>
        </w:rPr>
        <w:t xml:space="preserve"> </w:t>
      </w:r>
      <w:r w:rsidR="00D333C2">
        <w:rPr>
          <w:lang w:val="lv-LV"/>
        </w:rPr>
        <w:t xml:space="preserve">tiktu </w:t>
      </w:r>
      <w:r w:rsidRPr="00D333C2">
        <w:rPr>
          <w:lang w:val="lv-LV"/>
        </w:rPr>
        <w:t>apšaubīt</w:t>
      </w:r>
      <w:r w:rsidR="00D333C2">
        <w:rPr>
          <w:lang w:val="lv-LV"/>
        </w:rPr>
        <w:t>a</w:t>
      </w:r>
      <w:r w:rsidRPr="00D333C2">
        <w:rPr>
          <w:lang w:val="lv-LV"/>
        </w:rPr>
        <w:t xml:space="preserve"> viņa objektivitāt</w:t>
      </w:r>
      <w:r w:rsidR="00D333C2">
        <w:rPr>
          <w:lang w:val="lv-LV"/>
        </w:rPr>
        <w:t>e</w:t>
      </w:r>
      <w:r w:rsidRPr="00D333C2">
        <w:rPr>
          <w:lang w:val="lv-LV"/>
        </w:rPr>
        <w:t xml:space="preserve">. Šajā lēmumā tiesnesis atsaucies uz Senāta 2020.gada 25.novembra spriedumu lietā Nr.SKC-41/2020 un 2022.gada 15.septembra spriedumu lietā Nr.SKC-13/2022 un norādījis uz ierobežotu iespēju atspēkot pret viņu publiski pausto kritiku, jo tiesnesim, kuru </w:t>
      </w:r>
      <w:r w:rsidR="00D333C2">
        <w:rPr>
          <w:lang w:val="lv-LV"/>
        </w:rPr>
        <w:t>kritizē,</w:t>
      </w:r>
      <w:r w:rsidR="00D333C2" w:rsidRPr="00D333C2">
        <w:rPr>
          <w:lang w:val="lv-LV"/>
        </w:rPr>
        <w:t xml:space="preserve"> jāievēro diskrētums.</w:t>
      </w:r>
    </w:p>
    <w:p w14:paraId="355B7D43"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p>
    <w:p w14:paraId="11E133A2"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r w:rsidRPr="00635DA3">
        <w:rPr>
          <w:rFonts w:asciiTheme="majorBidi" w:hAnsiTheme="majorBidi" w:cstheme="majorBidi"/>
          <w:shd w:val="clear" w:color="auto" w:fill="FFFFFF"/>
          <w:lang w:val="lv-LV"/>
        </w:rPr>
        <w:t xml:space="preserve">[4] Izvērtējot </w:t>
      </w:r>
      <w:r w:rsidR="00D333C2">
        <w:rPr>
          <w:rFonts w:asciiTheme="majorBidi" w:hAnsiTheme="majorBidi" w:cstheme="majorBidi"/>
          <w:shd w:val="clear" w:color="auto" w:fill="FFFFFF"/>
          <w:lang w:val="lv-LV"/>
        </w:rPr>
        <w:t>norādī</w:t>
      </w:r>
      <w:r>
        <w:rPr>
          <w:rFonts w:asciiTheme="majorBidi" w:hAnsiTheme="majorBidi" w:cstheme="majorBidi"/>
          <w:shd w:val="clear" w:color="auto" w:fill="FFFFFF"/>
          <w:lang w:val="lv-LV"/>
        </w:rPr>
        <w:t xml:space="preserve">tos </w:t>
      </w:r>
      <w:r w:rsidRPr="00D333C2">
        <w:rPr>
          <w:rFonts w:asciiTheme="majorBidi" w:hAnsiTheme="majorBidi" w:cstheme="majorBidi"/>
          <w:shd w:val="clear" w:color="auto" w:fill="FFFFFF"/>
          <w:lang w:val="lv-LV"/>
        </w:rPr>
        <w:t xml:space="preserve">apstākļus </w:t>
      </w:r>
      <w:r w:rsidR="00D333C2" w:rsidRPr="00D333C2">
        <w:rPr>
          <w:rFonts w:asciiTheme="majorBidi" w:hAnsiTheme="majorBidi" w:cstheme="majorBidi"/>
          <w:shd w:val="clear" w:color="auto" w:fill="FFFFFF"/>
          <w:lang w:val="lv-LV"/>
        </w:rPr>
        <w:t xml:space="preserve">un argumentus, </w:t>
      </w:r>
      <w:r>
        <w:rPr>
          <w:rFonts w:asciiTheme="majorBidi" w:hAnsiTheme="majorBidi" w:cstheme="majorBidi"/>
          <w:shd w:val="clear" w:color="auto" w:fill="FFFFFF"/>
          <w:lang w:val="lv-LV"/>
        </w:rPr>
        <w:t>Tiesnešu ētika</w:t>
      </w:r>
      <w:r w:rsidR="004957AF">
        <w:rPr>
          <w:rFonts w:asciiTheme="majorBidi" w:hAnsiTheme="majorBidi" w:cstheme="majorBidi"/>
          <w:shd w:val="clear" w:color="auto" w:fill="FFFFFF"/>
          <w:lang w:val="lv-LV"/>
        </w:rPr>
        <w:t>s</w:t>
      </w:r>
      <w:r>
        <w:rPr>
          <w:rFonts w:asciiTheme="majorBidi" w:hAnsiTheme="majorBidi" w:cstheme="majorBidi"/>
          <w:shd w:val="clear" w:color="auto" w:fill="FFFFFF"/>
          <w:lang w:val="lv-LV"/>
        </w:rPr>
        <w:t xml:space="preserve"> </w:t>
      </w:r>
      <w:r w:rsidRPr="00635DA3">
        <w:rPr>
          <w:rFonts w:asciiTheme="majorBidi" w:hAnsiTheme="majorBidi" w:cstheme="majorBidi"/>
          <w:shd w:val="clear" w:color="auto" w:fill="FFFFFF"/>
          <w:lang w:val="lv-LV"/>
        </w:rPr>
        <w:t xml:space="preserve">komisija </w:t>
      </w:r>
      <w:r>
        <w:rPr>
          <w:rFonts w:asciiTheme="majorBidi" w:hAnsiTheme="majorBidi" w:cstheme="majorBidi"/>
          <w:shd w:val="clear" w:color="auto" w:fill="FFFFFF"/>
          <w:lang w:val="lv-LV"/>
        </w:rPr>
        <w:t>izskaidro</w:t>
      </w:r>
      <w:r w:rsidRPr="00635DA3">
        <w:rPr>
          <w:rFonts w:asciiTheme="majorBidi" w:hAnsiTheme="majorBidi" w:cstheme="majorBidi"/>
          <w:shd w:val="clear" w:color="auto" w:fill="FFFFFF"/>
          <w:lang w:val="lv-LV"/>
        </w:rPr>
        <w:t>, ka</w:t>
      </w:r>
      <w:r>
        <w:rPr>
          <w:rFonts w:asciiTheme="majorBidi" w:hAnsiTheme="majorBidi" w:cstheme="majorBidi"/>
          <w:shd w:val="clear" w:color="auto" w:fill="FFFFFF"/>
          <w:lang w:val="lv-LV"/>
        </w:rPr>
        <w:t>,</w:t>
      </w:r>
      <w:r w:rsidRPr="00635DA3">
        <w:rPr>
          <w:rFonts w:asciiTheme="majorBidi" w:hAnsiTheme="majorBidi" w:cstheme="majorBidi"/>
          <w:shd w:val="clear" w:color="auto" w:fill="FFFFFF"/>
          <w:lang w:val="lv-LV"/>
        </w:rPr>
        <w:t xml:space="preserve"> lemjot par noraidījuma pieņemšanu vai atst</w:t>
      </w:r>
      <w:r>
        <w:rPr>
          <w:rFonts w:asciiTheme="majorBidi" w:hAnsiTheme="majorBidi" w:cstheme="majorBidi"/>
          <w:shd w:val="clear" w:color="auto" w:fill="FFFFFF"/>
          <w:lang w:val="lv-LV"/>
        </w:rPr>
        <w:t>at</w:t>
      </w:r>
      <w:r w:rsidRPr="00635DA3">
        <w:rPr>
          <w:rFonts w:asciiTheme="majorBidi" w:hAnsiTheme="majorBidi" w:cstheme="majorBidi"/>
          <w:shd w:val="clear" w:color="auto" w:fill="FFFFFF"/>
          <w:lang w:val="lv-LV"/>
        </w:rPr>
        <w:t>īšanos</w:t>
      </w:r>
      <w:r>
        <w:rPr>
          <w:rFonts w:asciiTheme="majorBidi" w:hAnsiTheme="majorBidi" w:cstheme="majorBidi"/>
          <w:shd w:val="clear" w:color="auto" w:fill="FFFFFF"/>
          <w:lang w:val="lv-LV"/>
        </w:rPr>
        <w:t>,</w:t>
      </w:r>
      <w:r w:rsidRPr="00635DA3">
        <w:rPr>
          <w:rFonts w:asciiTheme="majorBidi" w:hAnsiTheme="majorBidi" w:cstheme="majorBidi"/>
          <w:shd w:val="clear" w:color="auto" w:fill="FFFFFF"/>
          <w:lang w:val="lv-LV"/>
        </w:rPr>
        <w:t xml:space="preserve"> tiesnesim ir</w:t>
      </w:r>
      <w:r w:rsidR="00293893">
        <w:rPr>
          <w:rFonts w:asciiTheme="majorBidi" w:hAnsiTheme="majorBidi" w:cstheme="majorBidi"/>
          <w:shd w:val="clear" w:color="auto" w:fill="FFFFFF"/>
          <w:lang w:val="lv-LV"/>
        </w:rPr>
        <w:t xml:space="preserve"> pienākums saglabāt konsekvenci</w:t>
      </w:r>
      <w:r w:rsidRPr="00635DA3">
        <w:rPr>
          <w:rFonts w:asciiTheme="majorBidi" w:hAnsiTheme="majorBidi" w:cstheme="majorBidi"/>
          <w:shd w:val="clear" w:color="auto" w:fill="FFFFFF"/>
          <w:lang w:val="lv-LV"/>
        </w:rPr>
        <w:t>, proti, lemjot par apšaubīto objektivitāti, identiskus un salīdzināmus apstākļus izvērtēt vienveidīgi, izslēdzot šaubas par jebkādu tiešu vai netiešu ārēju ietekmi vai spiedienu uz tiesnesi</w:t>
      </w:r>
      <w:r>
        <w:rPr>
          <w:rFonts w:asciiTheme="majorBidi" w:hAnsiTheme="majorBidi" w:cstheme="majorBidi"/>
          <w:shd w:val="clear" w:color="auto" w:fill="FFFFFF"/>
          <w:lang w:val="lv-LV"/>
        </w:rPr>
        <w:t>,</w:t>
      </w:r>
      <w:r w:rsidRPr="00635DA3">
        <w:rPr>
          <w:rFonts w:asciiTheme="majorBidi" w:hAnsiTheme="majorBidi" w:cstheme="majorBidi"/>
          <w:shd w:val="clear" w:color="auto" w:fill="FFFFFF"/>
          <w:lang w:val="lv-LV"/>
        </w:rPr>
        <w:t xml:space="preserve"> vai arī paša ieinteresētību neskatīt konkrētu lietu. </w:t>
      </w:r>
      <w:r>
        <w:rPr>
          <w:rFonts w:asciiTheme="majorBidi" w:hAnsiTheme="majorBidi" w:cstheme="majorBidi"/>
          <w:shd w:val="clear" w:color="auto" w:fill="FFFFFF"/>
          <w:lang w:val="lv-LV"/>
        </w:rPr>
        <w:t xml:space="preserve">Tiesnešu ētikas komisija jau iepriekš skaidrojusi, ka atbilstoši </w:t>
      </w:r>
      <w:r>
        <w:rPr>
          <w:szCs w:val="24"/>
          <w:lang w:val="lv-LV"/>
        </w:rPr>
        <w:t>Eiropas Cilvēktiesību tiesas atzītajam tiesas objektivitāti var analizēt no diviem aspektiem, proti, pēc subjektīvā kritērija – tiesneša personiskā pārliecība attiecībā uz konkrēto lietu</w:t>
      </w:r>
      <w:r w:rsidR="00293893">
        <w:rPr>
          <w:szCs w:val="24"/>
          <w:lang w:val="lv-LV"/>
        </w:rPr>
        <w:t>,</w:t>
      </w:r>
      <w:r>
        <w:rPr>
          <w:szCs w:val="24"/>
          <w:lang w:val="lv-LV"/>
        </w:rPr>
        <w:t xml:space="preserve"> un pēc objektīvā kritērija – vai ir pietiekamas garantijas, ka ir izslēgtas jebkādas leģitīmas šaubas par tiesneša objektivitāti (</w:t>
      </w:r>
      <w:r w:rsidRPr="00880D00">
        <w:rPr>
          <w:szCs w:val="24"/>
          <w:lang w:val="lv-LV"/>
        </w:rPr>
        <w:t>piemēram,</w:t>
      </w:r>
      <w:r w:rsidRPr="00EA06AA">
        <w:rPr>
          <w:i/>
          <w:iCs/>
          <w:szCs w:val="24"/>
          <w:lang w:val="lv-LV"/>
        </w:rPr>
        <w:t xml:space="preserve"> 2008.gada 1.augusta skaidrojums</w:t>
      </w:r>
      <w:r>
        <w:rPr>
          <w:szCs w:val="24"/>
          <w:lang w:val="lv-LV"/>
        </w:rPr>
        <w:t xml:space="preserve">). </w:t>
      </w:r>
      <w:r w:rsidRPr="00635DA3">
        <w:rPr>
          <w:rFonts w:asciiTheme="majorBidi" w:hAnsiTheme="majorBidi" w:cstheme="majorBidi"/>
          <w:shd w:val="clear" w:color="auto" w:fill="FFFFFF"/>
          <w:lang w:val="lv-LV"/>
        </w:rPr>
        <w:t>Nav pieļaujams, ka</w:t>
      </w:r>
      <w:r>
        <w:rPr>
          <w:rFonts w:asciiTheme="majorBidi" w:hAnsiTheme="majorBidi" w:cstheme="majorBidi"/>
          <w:shd w:val="clear" w:color="auto" w:fill="FFFFFF"/>
          <w:lang w:val="lv-LV"/>
        </w:rPr>
        <w:t>,</w:t>
      </w:r>
      <w:r w:rsidRPr="00635DA3">
        <w:rPr>
          <w:rFonts w:asciiTheme="majorBidi" w:hAnsiTheme="majorBidi" w:cstheme="majorBidi"/>
          <w:shd w:val="clear" w:color="auto" w:fill="FFFFFF"/>
          <w:lang w:val="lv-LV"/>
        </w:rPr>
        <w:t xml:space="preserve"> vērtējot subjektīvo </w:t>
      </w:r>
      <w:r w:rsidR="000E7784">
        <w:rPr>
          <w:rFonts w:asciiTheme="majorBidi" w:hAnsiTheme="majorBidi" w:cstheme="majorBidi"/>
          <w:shd w:val="clear" w:color="auto" w:fill="FFFFFF"/>
          <w:lang w:val="lv-LV"/>
        </w:rPr>
        <w:t>un objektīvo kritēriju</w:t>
      </w:r>
      <w:r w:rsidRPr="00635DA3">
        <w:rPr>
          <w:rFonts w:asciiTheme="majorBidi" w:hAnsiTheme="majorBidi" w:cstheme="majorBidi"/>
          <w:shd w:val="clear" w:color="auto" w:fill="FFFFFF"/>
          <w:lang w:val="lv-LV"/>
        </w:rPr>
        <w:t xml:space="preserve">, tiesnesis </w:t>
      </w:r>
      <w:r>
        <w:rPr>
          <w:rFonts w:asciiTheme="majorBidi" w:hAnsiTheme="majorBidi" w:cstheme="majorBidi"/>
          <w:shd w:val="clear" w:color="auto" w:fill="FFFFFF"/>
          <w:lang w:val="lv-LV"/>
        </w:rPr>
        <w:t xml:space="preserve">vienus un </w:t>
      </w:r>
      <w:r w:rsidRPr="00635DA3">
        <w:rPr>
          <w:rFonts w:asciiTheme="majorBidi" w:hAnsiTheme="majorBidi" w:cstheme="majorBidi"/>
          <w:shd w:val="clear" w:color="auto" w:fill="FFFFFF"/>
          <w:lang w:val="lv-LV"/>
        </w:rPr>
        <w:t>tos pašus faktus</w:t>
      </w:r>
      <w:r w:rsidR="00293893">
        <w:rPr>
          <w:rFonts w:asciiTheme="majorBidi" w:hAnsiTheme="majorBidi" w:cstheme="majorBidi"/>
          <w:shd w:val="clear" w:color="auto" w:fill="FFFFFF"/>
          <w:lang w:val="lv-LV"/>
        </w:rPr>
        <w:t xml:space="preserve"> traktē atšķirīgi</w:t>
      </w:r>
      <w:r w:rsidRPr="00635DA3">
        <w:rPr>
          <w:rFonts w:asciiTheme="majorBidi" w:hAnsiTheme="majorBidi" w:cstheme="majorBidi"/>
          <w:shd w:val="clear" w:color="auto" w:fill="FFFFFF"/>
          <w:lang w:val="lv-LV"/>
        </w:rPr>
        <w:t xml:space="preserve">, nonākot pie diametrāli pretējiem secinājumiem par savu spēju neatkarīgi un objektīvi </w:t>
      </w:r>
      <w:r w:rsidR="00293893">
        <w:rPr>
          <w:rFonts w:asciiTheme="majorBidi" w:hAnsiTheme="majorBidi" w:cstheme="majorBidi"/>
          <w:shd w:val="clear" w:color="auto" w:fill="FFFFFF"/>
          <w:lang w:val="lv-LV"/>
        </w:rPr>
        <w:t>iz</w:t>
      </w:r>
      <w:r w:rsidRPr="00635DA3">
        <w:rPr>
          <w:rFonts w:asciiTheme="majorBidi" w:hAnsiTheme="majorBidi" w:cstheme="majorBidi"/>
          <w:shd w:val="clear" w:color="auto" w:fill="FFFFFF"/>
          <w:lang w:val="lv-LV"/>
        </w:rPr>
        <w:t>skatīt lietu.</w:t>
      </w:r>
    </w:p>
    <w:p w14:paraId="07867B7D"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r w:rsidRPr="00635DA3">
        <w:rPr>
          <w:rFonts w:asciiTheme="majorBidi" w:hAnsiTheme="majorBidi" w:cstheme="majorBidi"/>
          <w:shd w:val="clear" w:color="auto" w:fill="FFFFFF"/>
          <w:lang w:val="lv-LV"/>
        </w:rPr>
        <w:t>Tiesnešu ētikas komisija jau iepriekš atzinusi, ka</w:t>
      </w:r>
      <w:r w:rsidRPr="00635DA3">
        <w:rPr>
          <w:rFonts w:eastAsia="SimSun" w:cs="Mangal"/>
          <w:kern w:val="1"/>
          <w:szCs w:val="24"/>
          <w:lang w:val="lv-LV" w:eastAsia="hi-IN" w:bidi="hi-IN"/>
        </w:rPr>
        <w:t xml:space="preserve"> </w:t>
      </w:r>
      <w:r w:rsidRPr="00635DA3">
        <w:rPr>
          <w:rFonts w:asciiTheme="majorBidi" w:hAnsiTheme="majorBidi" w:cstheme="majorBidi"/>
          <w:shd w:val="clear" w:color="auto" w:fill="FFFFFF"/>
          <w:lang w:val="lv-LV"/>
        </w:rPr>
        <w:t>tiesneša pretrunīga rīcība</w:t>
      </w:r>
      <w:r w:rsidRPr="00635DA3">
        <w:rPr>
          <w:rFonts w:eastAsia="SimSun" w:cs="Mangal"/>
          <w:kern w:val="1"/>
          <w:szCs w:val="24"/>
          <w:lang w:val="lv-LV" w:eastAsia="hi-IN" w:bidi="hi-IN"/>
        </w:rPr>
        <w:t xml:space="preserve"> </w:t>
      </w:r>
      <w:r w:rsidRPr="00635DA3">
        <w:rPr>
          <w:rFonts w:asciiTheme="majorBidi" w:hAnsiTheme="majorBidi" w:cstheme="majorBidi"/>
          <w:shd w:val="clear" w:color="auto" w:fill="FFFFFF"/>
          <w:lang w:val="lv-LV"/>
        </w:rPr>
        <w:t xml:space="preserve">un nekonsekvence, vienos un tajos pašos faktiskajos apstākļos pieņemot atšķirīgus lēmumus par sevis </w:t>
      </w:r>
      <w:r w:rsidRPr="00635DA3">
        <w:rPr>
          <w:rFonts w:asciiTheme="majorBidi" w:hAnsiTheme="majorBidi" w:cstheme="majorBidi"/>
          <w:shd w:val="clear" w:color="auto" w:fill="FFFFFF"/>
          <w:lang w:val="lv-LV"/>
        </w:rPr>
        <w:lastRenderedPageBreak/>
        <w:t xml:space="preserve">atstatīšanu, neveicina sabiedrības uzticību tiesai un tās objektivitātei </w:t>
      </w:r>
      <w:r w:rsidRPr="00EA06AA">
        <w:rPr>
          <w:rFonts w:asciiTheme="majorBidi" w:hAnsiTheme="majorBidi" w:cstheme="majorBidi"/>
          <w:iCs/>
          <w:shd w:val="clear" w:color="auto" w:fill="FFFFFF"/>
          <w:lang w:val="lv-LV"/>
        </w:rPr>
        <w:t>(sk.</w:t>
      </w:r>
      <w:r w:rsidRPr="00635DA3">
        <w:rPr>
          <w:rFonts w:asciiTheme="majorBidi" w:hAnsiTheme="majorBidi" w:cstheme="majorBidi"/>
          <w:i/>
          <w:shd w:val="clear" w:color="auto" w:fill="FFFFFF"/>
          <w:lang w:val="lv-LV"/>
        </w:rPr>
        <w:t xml:space="preserve"> 2022.gada 18.februāra atzinumu</w:t>
      </w:r>
      <w:r w:rsidRPr="00EA06AA">
        <w:rPr>
          <w:rFonts w:asciiTheme="majorBidi" w:hAnsiTheme="majorBidi" w:cstheme="majorBidi"/>
          <w:iCs/>
          <w:shd w:val="clear" w:color="auto" w:fill="FFFFFF"/>
          <w:lang w:val="lv-LV"/>
        </w:rPr>
        <w:t>)</w:t>
      </w:r>
      <w:r w:rsidRPr="00635DA3">
        <w:rPr>
          <w:rFonts w:asciiTheme="majorBidi" w:hAnsiTheme="majorBidi" w:cstheme="majorBidi"/>
          <w:i/>
          <w:shd w:val="clear" w:color="auto" w:fill="FFFFFF"/>
          <w:lang w:val="lv-LV"/>
        </w:rPr>
        <w:t>.</w:t>
      </w:r>
      <w:r w:rsidR="00293893">
        <w:rPr>
          <w:rStyle w:val="Komentraatsauce"/>
        </w:rPr>
        <w:t xml:space="preserve"> </w:t>
      </w:r>
    </w:p>
    <w:p w14:paraId="4D3C0F46" w14:textId="77777777" w:rsidR="00AF55F0" w:rsidRPr="00635DA3" w:rsidRDefault="00AF55F0" w:rsidP="00AF55F0">
      <w:pPr>
        <w:spacing w:after="0" w:line="276" w:lineRule="auto"/>
        <w:jc w:val="both"/>
        <w:rPr>
          <w:rFonts w:asciiTheme="majorBidi" w:hAnsiTheme="majorBidi" w:cstheme="majorBidi"/>
          <w:shd w:val="clear" w:color="auto" w:fill="FFFFFF"/>
          <w:lang w:val="lv-LV"/>
        </w:rPr>
      </w:pPr>
    </w:p>
    <w:p w14:paraId="1422D85C" w14:textId="77777777" w:rsidR="00AF55F0" w:rsidRPr="00635DA3" w:rsidRDefault="00AF55F0" w:rsidP="00AF55F0">
      <w:pPr>
        <w:spacing w:after="0" w:line="276" w:lineRule="auto"/>
        <w:ind w:firstLine="720"/>
        <w:jc w:val="both"/>
        <w:rPr>
          <w:rFonts w:asciiTheme="majorBidi" w:hAnsiTheme="majorBidi" w:cstheme="majorBidi"/>
          <w:szCs w:val="24"/>
          <w:shd w:val="clear" w:color="auto" w:fill="FFFFFF"/>
          <w:lang w:val="lv-LV"/>
        </w:rPr>
      </w:pPr>
      <w:r w:rsidRPr="00635DA3">
        <w:rPr>
          <w:rFonts w:asciiTheme="majorBidi" w:hAnsiTheme="majorBidi" w:cstheme="majorBidi"/>
          <w:szCs w:val="24"/>
          <w:shd w:val="clear" w:color="auto" w:fill="FFFFFF"/>
          <w:lang w:val="lv-LV"/>
        </w:rPr>
        <w:t xml:space="preserve">[5] Tieslietu padomes publiskotajā Ziņojumā, analizējot konkrētas lietas, eksperti ir norādījuši uz tiesnešu kļūdām, </w:t>
      </w:r>
      <w:r>
        <w:rPr>
          <w:rFonts w:asciiTheme="majorBidi" w:hAnsiTheme="majorBidi" w:cstheme="majorBidi"/>
          <w:szCs w:val="24"/>
          <w:shd w:val="clear" w:color="auto" w:fill="FFFFFF"/>
          <w:lang w:val="lv-LV"/>
        </w:rPr>
        <w:t xml:space="preserve">konstatējot gan </w:t>
      </w:r>
      <w:r w:rsidRPr="00635DA3">
        <w:rPr>
          <w:rFonts w:asciiTheme="majorBidi" w:hAnsiTheme="majorBidi" w:cstheme="majorBidi"/>
          <w:szCs w:val="24"/>
          <w:shd w:val="clear" w:color="auto" w:fill="FFFFFF"/>
          <w:lang w:val="lv-LV"/>
        </w:rPr>
        <w:t>nepareiz</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likuma interpretācij</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 xml:space="preserve">gan </w:t>
      </w:r>
      <w:r w:rsidRPr="00635DA3">
        <w:rPr>
          <w:rFonts w:asciiTheme="majorBidi" w:hAnsiTheme="majorBidi" w:cstheme="majorBidi"/>
          <w:szCs w:val="24"/>
          <w:shd w:val="clear" w:color="auto" w:fill="FFFFFF"/>
          <w:lang w:val="lv-LV"/>
        </w:rPr>
        <w:t>lietas apstākļu nepareiz</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izvērtēšan</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 xml:space="preserve">gan </w:t>
      </w:r>
      <w:r w:rsidRPr="00635DA3">
        <w:rPr>
          <w:rFonts w:asciiTheme="majorBidi" w:hAnsiTheme="majorBidi" w:cstheme="majorBidi"/>
          <w:szCs w:val="24"/>
          <w:shd w:val="clear" w:color="auto" w:fill="FFFFFF"/>
          <w:lang w:val="lv-LV"/>
        </w:rPr>
        <w:t>rupj</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nolaidīb</w:t>
      </w:r>
      <w:r>
        <w:rPr>
          <w:rFonts w:asciiTheme="majorBidi" w:hAnsiTheme="majorBidi" w:cstheme="majorBidi"/>
          <w:szCs w:val="24"/>
          <w:shd w:val="clear" w:color="auto" w:fill="FFFFFF"/>
          <w:lang w:val="lv-LV"/>
        </w:rPr>
        <w:t>u</w:t>
      </w:r>
      <w:r w:rsidRPr="00635DA3">
        <w:rPr>
          <w:rFonts w:asciiTheme="majorBidi" w:hAnsiTheme="majorBidi" w:cstheme="majorBidi"/>
          <w:szCs w:val="24"/>
          <w:shd w:val="clear" w:color="auto" w:fill="FFFFFF"/>
          <w:lang w:val="lv-LV"/>
        </w:rPr>
        <w:t xml:space="preserve"> vai likuma pārkāpum</w:t>
      </w:r>
      <w:r>
        <w:rPr>
          <w:rFonts w:asciiTheme="majorBidi" w:hAnsiTheme="majorBidi" w:cstheme="majorBidi"/>
          <w:szCs w:val="24"/>
          <w:shd w:val="clear" w:color="auto" w:fill="FFFFFF"/>
          <w:lang w:val="lv-LV"/>
        </w:rPr>
        <w:t>u, u.c.</w:t>
      </w:r>
      <w:r w:rsidRPr="00635DA3">
        <w:rPr>
          <w:rFonts w:asciiTheme="majorBidi" w:hAnsiTheme="majorBidi" w:cstheme="majorBidi"/>
          <w:szCs w:val="24"/>
          <w:shd w:val="clear" w:color="auto" w:fill="FFFFFF"/>
          <w:lang w:val="lv-LV"/>
        </w:rPr>
        <w:t xml:space="preserve">. Tiesnešu ētikas komisija </w:t>
      </w:r>
      <w:r>
        <w:rPr>
          <w:rFonts w:asciiTheme="majorBidi" w:hAnsiTheme="majorBidi" w:cstheme="majorBidi"/>
          <w:szCs w:val="24"/>
          <w:shd w:val="clear" w:color="auto" w:fill="FFFFFF"/>
          <w:lang w:val="lv-LV"/>
        </w:rPr>
        <w:t>piekrīt</w:t>
      </w:r>
      <w:r w:rsidRPr="00635DA3">
        <w:rPr>
          <w:rFonts w:asciiTheme="majorBidi" w:hAnsiTheme="majorBidi" w:cstheme="majorBidi"/>
          <w:szCs w:val="24"/>
          <w:shd w:val="clear" w:color="auto" w:fill="FFFFFF"/>
          <w:lang w:val="lv-LV"/>
        </w:rPr>
        <w:t xml:space="preserve">, ka Ziņojums sabiedrībai var radīt nelabvēlīgu iespaidu par tajā minēto tiesnešu profesionālo kompetenci un reputāciju. Tomēr komisija uzskata, ka </w:t>
      </w:r>
      <w:r>
        <w:rPr>
          <w:rFonts w:asciiTheme="majorBidi" w:hAnsiTheme="majorBidi" w:cstheme="majorBidi"/>
          <w:szCs w:val="24"/>
          <w:shd w:val="clear" w:color="auto" w:fill="FFFFFF"/>
          <w:lang w:val="lv-LV"/>
        </w:rPr>
        <w:t>Z</w:t>
      </w:r>
      <w:r w:rsidRPr="00635DA3">
        <w:rPr>
          <w:rFonts w:asciiTheme="majorBidi" w:hAnsiTheme="majorBidi" w:cstheme="majorBidi"/>
          <w:szCs w:val="24"/>
          <w:shd w:val="clear" w:color="auto" w:fill="FFFFFF"/>
          <w:lang w:val="lv-LV"/>
        </w:rPr>
        <w:t xml:space="preserve">iņojumā ietvertā kritika pati par sevi nevar radīt patstāvīgu pamatu </w:t>
      </w:r>
      <w:r>
        <w:rPr>
          <w:rFonts w:asciiTheme="majorBidi" w:hAnsiTheme="majorBidi" w:cstheme="majorBidi"/>
          <w:szCs w:val="24"/>
          <w:shd w:val="clear" w:color="auto" w:fill="FFFFFF"/>
          <w:lang w:val="lv-LV"/>
        </w:rPr>
        <w:t>tajā</w:t>
      </w:r>
      <w:r w:rsidRPr="00635DA3">
        <w:rPr>
          <w:rFonts w:asciiTheme="majorBidi" w:hAnsiTheme="majorBidi" w:cstheme="majorBidi"/>
          <w:szCs w:val="24"/>
          <w:shd w:val="clear" w:color="auto" w:fill="FFFFFF"/>
          <w:lang w:val="lv-LV"/>
        </w:rPr>
        <w:t xml:space="preserve"> minēt</w:t>
      </w:r>
      <w:r w:rsidR="000E7784">
        <w:rPr>
          <w:rFonts w:asciiTheme="majorBidi" w:hAnsiTheme="majorBidi" w:cstheme="majorBidi"/>
          <w:szCs w:val="24"/>
          <w:shd w:val="clear" w:color="auto" w:fill="FFFFFF"/>
          <w:lang w:val="lv-LV"/>
        </w:rPr>
        <w:t>aj</w:t>
      </w:r>
      <w:r w:rsidRPr="00635DA3">
        <w:rPr>
          <w:rFonts w:asciiTheme="majorBidi" w:hAnsiTheme="majorBidi" w:cstheme="majorBidi"/>
          <w:szCs w:val="24"/>
          <w:shd w:val="clear" w:color="auto" w:fill="FFFFFF"/>
          <w:lang w:val="lv-LV"/>
        </w:rPr>
        <w:t>iem tiesnešiem atstatīties no citu lietu izskatīšanas vai pieņemt citās lietās pieteiktus noraidījumu</w:t>
      </w:r>
      <w:r>
        <w:rPr>
          <w:rFonts w:asciiTheme="majorBidi" w:hAnsiTheme="majorBidi" w:cstheme="majorBidi"/>
          <w:szCs w:val="24"/>
          <w:shd w:val="clear" w:color="auto" w:fill="FFFFFF"/>
          <w:lang w:val="lv-LV"/>
        </w:rPr>
        <w:t>s.</w:t>
      </w:r>
      <w:r w:rsidRPr="00635DA3">
        <w:rPr>
          <w:rFonts w:asciiTheme="majorBidi" w:hAnsiTheme="majorBidi" w:cstheme="majorBidi"/>
          <w:szCs w:val="24"/>
          <w:shd w:val="clear" w:color="auto" w:fill="FFFFFF"/>
          <w:lang w:val="lv-LV"/>
        </w:rPr>
        <w:t xml:space="preserve"> </w:t>
      </w:r>
    </w:p>
    <w:p w14:paraId="17D2F26E" w14:textId="77777777" w:rsidR="00AF55F0" w:rsidRPr="00635DA3" w:rsidRDefault="00AF55F0" w:rsidP="00AF55F0">
      <w:pPr>
        <w:spacing w:after="0" w:line="276" w:lineRule="auto"/>
        <w:ind w:firstLine="720"/>
        <w:jc w:val="both"/>
        <w:rPr>
          <w:rFonts w:asciiTheme="majorBidi" w:hAnsiTheme="majorBidi" w:cstheme="majorBidi"/>
          <w:szCs w:val="24"/>
          <w:shd w:val="clear" w:color="auto" w:fill="FFFFFF"/>
          <w:lang w:val="lv-LV"/>
        </w:rPr>
      </w:pPr>
    </w:p>
    <w:p w14:paraId="12AB117F" w14:textId="77777777" w:rsidR="00AF55F0" w:rsidRPr="00635DA3" w:rsidRDefault="00AF55F0" w:rsidP="000E7784">
      <w:pPr>
        <w:spacing w:after="0" w:line="276" w:lineRule="auto"/>
        <w:ind w:firstLine="720"/>
        <w:jc w:val="both"/>
        <w:rPr>
          <w:rFonts w:asciiTheme="majorBidi" w:hAnsiTheme="majorBidi" w:cstheme="majorBidi"/>
          <w:szCs w:val="24"/>
          <w:shd w:val="clear" w:color="auto" w:fill="FFFFFF"/>
          <w:lang w:val="lv-LV"/>
        </w:rPr>
      </w:pPr>
      <w:r w:rsidRPr="00635DA3">
        <w:rPr>
          <w:rFonts w:asciiTheme="majorBidi" w:hAnsiTheme="majorBidi" w:cstheme="majorBidi"/>
          <w:szCs w:val="24"/>
          <w:shd w:val="clear" w:color="auto" w:fill="FFFFFF"/>
          <w:lang w:val="lv-LV"/>
        </w:rPr>
        <w:t xml:space="preserve">[6] Ar iecelšanu tiesneša amatā tiesnesis iegūst tiesas spriešanas funkciju. Saskaņā ar </w:t>
      </w:r>
      <w:r>
        <w:rPr>
          <w:rFonts w:asciiTheme="majorBidi" w:hAnsiTheme="majorBidi" w:cstheme="majorBidi"/>
          <w:szCs w:val="24"/>
          <w:shd w:val="clear" w:color="auto" w:fill="FFFFFF"/>
          <w:lang w:val="lv-LV"/>
        </w:rPr>
        <w:t xml:space="preserve">Latvijas Republikas </w:t>
      </w:r>
      <w:r w:rsidRPr="00635DA3">
        <w:rPr>
          <w:rFonts w:asciiTheme="majorBidi" w:hAnsiTheme="majorBidi" w:cstheme="majorBidi"/>
          <w:szCs w:val="24"/>
          <w:shd w:val="clear" w:color="auto" w:fill="FFFFFF"/>
          <w:lang w:val="lv-LV"/>
        </w:rPr>
        <w:t xml:space="preserve">Satversmes 83.pantu </w:t>
      </w:r>
      <w:r w:rsidRPr="00635DA3">
        <w:rPr>
          <w:rFonts w:asciiTheme="majorBidi" w:hAnsiTheme="majorBidi" w:cstheme="majorBidi"/>
          <w:bCs/>
          <w:szCs w:val="24"/>
          <w:shd w:val="clear" w:color="auto" w:fill="FFFFFF"/>
          <w:lang w:val="lv-LV"/>
        </w:rPr>
        <w:t>t</w:t>
      </w:r>
      <w:r w:rsidRPr="00635DA3">
        <w:rPr>
          <w:rFonts w:asciiTheme="majorBidi" w:hAnsiTheme="majorBidi" w:cstheme="majorBidi"/>
          <w:szCs w:val="24"/>
          <w:shd w:val="clear" w:color="auto" w:fill="FFFFFF"/>
          <w:lang w:val="lv-LV"/>
        </w:rPr>
        <w:t>iesne</w:t>
      </w:r>
      <w:r>
        <w:rPr>
          <w:rFonts w:asciiTheme="majorBidi" w:hAnsiTheme="majorBidi" w:cstheme="majorBidi"/>
          <w:szCs w:val="24"/>
          <w:shd w:val="clear" w:color="auto" w:fill="FFFFFF"/>
          <w:lang w:val="lv-LV"/>
        </w:rPr>
        <w:t>sis</w:t>
      </w:r>
      <w:r w:rsidRPr="00635DA3">
        <w:rPr>
          <w:rFonts w:asciiTheme="majorBidi" w:hAnsiTheme="majorBidi" w:cstheme="majorBidi"/>
          <w:szCs w:val="24"/>
          <w:shd w:val="clear" w:color="auto" w:fill="FFFFFF"/>
          <w:lang w:val="lv-LV"/>
        </w:rPr>
        <w:t xml:space="preserve"> ir neatkarīg</w:t>
      </w:r>
      <w:r>
        <w:rPr>
          <w:rFonts w:asciiTheme="majorBidi" w:hAnsiTheme="majorBidi" w:cstheme="majorBidi"/>
          <w:szCs w:val="24"/>
          <w:shd w:val="clear" w:color="auto" w:fill="FFFFFF"/>
          <w:lang w:val="lv-LV"/>
        </w:rPr>
        <w:t>s</w:t>
      </w:r>
      <w:r w:rsidRPr="00635DA3">
        <w:rPr>
          <w:rFonts w:asciiTheme="majorBidi" w:hAnsiTheme="majorBidi" w:cstheme="majorBidi"/>
          <w:szCs w:val="24"/>
          <w:shd w:val="clear" w:color="auto" w:fill="FFFFFF"/>
          <w:lang w:val="lv-LV"/>
        </w:rPr>
        <w:t xml:space="preserve"> un vienīgi likumam padot</w:t>
      </w:r>
      <w:r>
        <w:rPr>
          <w:rFonts w:asciiTheme="majorBidi" w:hAnsiTheme="majorBidi" w:cstheme="majorBidi"/>
          <w:szCs w:val="24"/>
          <w:shd w:val="clear" w:color="auto" w:fill="FFFFFF"/>
          <w:lang w:val="lv-LV"/>
        </w:rPr>
        <w:t>s</w:t>
      </w:r>
      <w:r w:rsidRPr="00635DA3">
        <w:rPr>
          <w:rFonts w:asciiTheme="majorBidi" w:hAnsiTheme="majorBidi" w:cstheme="majorBidi"/>
          <w:szCs w:val="24"/>
          <w:shd w:val="clear" w:color="auto" w:fill="FFFFFF"/>
          <w:lang w:val="lv-LV"/>
        </w:rPr>
        <w:t>. Tiesnesim ir pienākums spriest taisnīgu tiesu. Tomēr tie</w:t>
      </w:r>
      <w:r w:rsidR="000E7784">
        <w:rPr>
          <w:rFonts w:asciiTheme="majorBidi" w:hAnsiTheme="majorBidi" w:cstheme="majorBidi"/>
          <w:szCs w:val="24"/>
          <w:shd w:val="clear" w:color="auto" w:fill="FFFFFF"/>
          <w:lang w:val="lv-LV"/>
        </w:rPr>
        <w:t>sneša neatkarība nav absolūta, t</w:t>
      </w:r>
      <w:r w:rsidRPr="00635DA3">
        <w:rPr>
          <w:rFonts w:asciiTheme="majorBidi" w:hAnsiTheme="majorBidi" w:cstheme="majorBidi"/>
          <w:szCs w:val="24"/>
          <w:shd w:val="clear" w:color="auto" w:fill="FFFFFF"/>
          <w:lang w:val="lv-LV"/>
        </w:rPr>
        <w:t xml:space="preserve">iesneša rīcība un lēmumi tiek izvērtēti </w:t>
      </w:r>
      <w:r>
        <w:rPr>
          <w:rFonts w:asciiTheme="majorBidi" w:hAnsiTheme="majorBidi" w:cstheme="majorBidi"/>
          <w:szCs w:val="24"/>
          <w:shd w:val="clear" w:color="auto" w:fill="FFFFFF"/>
          <w:lang w:val="lv-LV"/>
        </w:rPr>
        <w:t xml:space="preserve">augstākas instances tiesā </w:t>
      </w:r>
      <w:r w:rsidRPr="00635DA3">
        <w:rPr>
          <w:rFonts w:asciiTheme="majorBidi" w:hAnsiTheme="majorBidi" w:cstheme="majorBidi"/>
          <w:szCs w:val="24"/>
          <w:shd w:val="clear" w:color="auto" w:fill="FFFFFF"/>
          <w:lang w:val="lv-LV"/>
        </w:rPr>
        <w:t xml:space="preserve">procesuālos likumos noteiktā kārtībā </w:t>
      </w:r>
      <w:r>
        <w:rPr>
          <w:rFonts w:asciiTheme="majorBidi" w:hAnsiTheme="majorBidi" w:cstheme="majorBidi"/>
          <w:szCs w:val="24"/>
          <w:shd w:val="clear" w:color="auto" w:fill="FFFFFF"/>
          <w:lang w:val="lv-LV"/>
        </w:rPr>
        <w:t>un viņa lēmumi var tikt arī atcelti vai grozīti</w:t>
      </w:r>
      <w:r w:rsidRPr="00635DA3">
        <w:rPr>
          <w:rFonts w:asciiTheme="majorBidi" w:hAnsiTheme="majorBidi" w:cstheme="majorBidi"/>
          <w:szCs w:val="24"/>
          <w:shd w:val="clear" w:color="auto" w:fill="FFFFFF"/>
          <w:lang w:val="lv-LV"/>
        </w:rPr>
        <w:t>. Tiesne</w:t>
      </w:r>
      <w:r>
        <w:rPr>
          <w:rFonts w:asciiTheme="majorBidi" w:hAnsiTheme="majorBidi" w:cstheme="majorBidi"/>
          <w:szCs w:val="24"/>
          <w:shd w:val="clear" w:color="auto" w:fill="FFFFFF"/>
          <w:lang w:val="lv-LV"/>
        </w:rPr>
        <w:t>sim</w:t>
      </w:r>
      <w:r w:rsidRPr="00635DA3">
        <w:rPr>
          <w:rFonts w:asciiTheme="majorBidi" w:hAnsiTheme="majorBidi" w:cstheme="majorBidi"/>
          <w:szCs w:val="24"/>
          <w:shd w:val="clear" w:color="auto" w:fill="FFFFFF"/>
          <w:lang w:val="lv-LV"/>
        </w:rPr>
        <w:t xml:space="preserve"> pēc noteikta laika tiek veikta profesionālās darbības novērtēšana. Tās ietvaros atsauksmi par tiesneša darbu sniedz </w:t>
      </w:r>
      <w:r>
        <w:rPr>
          <w:rFonts w:asciiTheme="majorBidi" w:hAnsiTheme="majorBidi" w:cstheme="majorBidi"/>
          <w:szCs w:val="24"/>
          <w:shd w:val="clear" w:color="auto" w:fill="FFFFFF"/>
          <w:lang w:val="lv-LV"/>
        </w:rPr>
        <w:t xml:space="preserve">gan </w:t>
      </w:r>
      <w:r w:rsidRPr="00635DA3">
        <w:rPr>
          <w:rFonts w:asciiTheme="majorBidi" w:hAnsiTheme="majorBidi" w:cstheme="majorBidi"/>
          <w:szCs w:val="24"/>
          <w:shd w:val="clear" w:color="auto" w:fill="FFFFFF"/>
          <w:lang w:val="lv-LV"/>
        </w:rPr>
        <w:t>tiesas priekšsēdētājs</w:t>
      </w:r>
      <w:r>
        <w:rPr>
          <w:rFonts w:asciiTheme="majorBidi" w:hAnsiTheme="majorBidi" w:cstheme="majorBidi"/>
          <w:szCs w:val="24"/>
          <w:shd w:val="clear" w:color="auto" w:fill="FFFFFF"/>
          <w:lang w:val="lv-LV"/>
        </w:rPr>
        <w:t>, gan</w:t>
      </w:r>
      <w:r w:rsidRPr="00635DA3">
        <w:rPr>
          <w:rFonts w:asciiTheme="majorBidi" w:hAnsiTheme="majorBidi" w:cstheme="majorBidi"/>
          <w:szCs w:val="24"/>
          <w:shd w:val="clear" w:color="auto" w:fill="FFFFFF"/>
          <w:lang w:val="lv-LV"/>
        </w:rPr>
        <w:t xml:space="preserve"> augstāka</w:t>
      </w:r>
      <w:r>
        <w:rPr>
          <w:rFonts w:asciiTheme="majorBidi" w:hAnsiTheme="majorBidi" w:cstheme="majorBidi"/>
          <w:szCs w:val="24"/>
          <w:shd w:val="clear" w:color="auto" w:fill="FFFFFF"/>
          <w:lang w:val="lv-LV"/>
        </w:rPr>
        <w:t>s</w:t>
      </w:r>
      <w:r w:rsidRPr="00635DA3">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instances</w:t>
      </w:r>
      <w:r w:rsidRPr="00635DA3">
        <w:rPr>
          <w:rFonts w:asciiTheme="majorBidi" w:hAnsiTheme="majorBidi" w:cstheme="majorBidi"/>
          <w:szCs w:val="24"/>
          <w:shd w:val="clear" w:color="auto" w:fill="FFFFFF"/>
          <w:lang w:val="lv-LV"/>
        </w:rPr>
        <w:t xml:space="preserve"> tiesa</w:t>
      </w:r>
      <w:r>
        <w:rPr>
          <w:rFonts w:asciiTheme="majorBidi" w:hAnsiTheme="majorBidi" w:cstheme="majorBidi"/>
          <w:szCs w:val="24"/>
          <w:shd w:val="clear" w:color="auto" w:fill="FFFFFF"/>
          <w:lang w:val="lv-LV"/>
        </w:rPr>
        <w:t>, un izvērtēšanas ietvaros tiesnesis var saņemt arī negatīvu vai kritisku viedokli par savu darbu</w:t>
      </w:r>
      <w:r w:rsidRPr="00635DA3">
        <w:rPr>
          <w:rFonts w:asciiTheme="majorBidi" w:hAnsiTheme="majorBidi" w:cstheme="majorBidi"/>
          <w:szCs w:val="24"/>
          <w:shd w:val="clear" w:color="auto" w:fill="FFFFFF"/>
          <w:lang w:val="lv-LV"/>
        </w:rPr>
        <w:t>. Tiesnešu kvalifikācijas kolēģija izvērtē tiesneša profesionālās prasmes</w:t>
      </w:r>
      <w:r w:rsidR="000E7784">
        <w:rPr>
          <w:rFonts w:asciiTheme="majorBidi" w:hAnsiTheme="majorBidi" w:cstheme="majorBidi"/>
          <w:szCs w:val="24"/>
          <w:shd w:val="clear" w:color="auto" w:fill="FFFFFF"/>
          <w:lang w:val="lv-LV"/>
        </w:rPr>
        <w:t>, savukārt</w:t>
      </w:r>
      <w:r w:rsidRPr="00635DA3">
        <w:rPr>
          <w:rFonts w:asciiTheme="majorBidi" w:hAnsiTheme="majorBidi" w:cstheme="majorBidi"/>
          <w:szCs w:val="24"/>
          <w:shd w:val="clear" w:color="auto" w:fill="FFFFFF"/>
          <w:lang w:val="lv-LV"/>
        </w:rPr>
        <w:t xml:space="preserve"> par pieļautiem likuma pakāpumiem un rupju nolaidību </w:t>
      </w:r>
      <w:r>
        <w:rPr>
          <w:rFonts w:asciiTheme="majorBidi" w:hAnsiTheme="majorBidi" w:cstheme="majorBidi"/>
          <w:szCs w:val="24"/>
          <w:shd w:val="clear" w:color="auto" w:fill="FFFFFF"/>
          <w:lang w:val="lv-LV"/>
        </w:rPr>
        <w:t xml:space="preserve">tiesnesi var saukt pie </w:t>
      </w:r>
      <w:r w:rsidRPr="00635DA3">
        <w:rPr>
          <w:rFonts w:asciiTheme="majorBidi" w:hAnsiTheme="majorBidi" w:cstheme="majorBidi"/>
          <w:szCs w:val="24"/>
          <w:shd w:val="clear" w:color="auto" w:fill="FFFFFF"/>
          <w:lang w:val="lv-LV"/>
        </w:rPr>
        <w:t xml:space="preserve"> disciplinār</w:t>
      </w:r>
      <w:r>
        <w:rPr>
          <w:rFonts w:asciiTheme="majorBidi" w:hAnsiTheme="majorBidi" w:cstheme="majorBidi"/>
          <w:szCs w:val="24"/>
          <w:shd w:val="clear" w:color="auto" w:fill="FFFFFF"/>
          <w:lang w:val="lv-LV"/>
        </w:rPr>
        <w:t xml:space="preserve">ās </w:t>
      </w:r>
      <w:r w:rsidRPr="00635DA3">
        <w:rPr>
          <w:rFonts w:asciiTheme="majorBidi" w:hAnsiTheme="majorBidi" w:cstheme="majorBidi"/>
          <w:szCs w:val="24"/>
          <w:shd w:val="clear" w:color="auto" w:fill="FFFFFF"/>
          <w:lang w:val="lv-LV"/>
        </w:rPr>
        <w:t>atbildība</w:t>
      </w:r>
      <w:r>
        <w:rPr>
          <w:rFonts w:asciiTheme="majorBidi" w:hAnsiTheme="majorBidi" w:cstheme="majorBidi"/>
          <w:szCs w:val="24"/>
          <w:shd w:val="clear" w:color="auto" w:fill="FFFFFF"/>
          <w:lang w:val="lv-LV"/>
        </w:rPr>
        <w:t>s</w:t>
      </w:r>
      <w:r w:rsidR="000E7784">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Turklāt</w:t>
      </w:r>
      <w:r w:rsidRPr="00635DA3">
        <w:rPr>
          <w:rFonts w:asciiTheme="majorBidi" w:hAnsiTheme="majorBidi" w:cstheme="majorBidi"/>
          <w:szCs w:val="24"/>
          <w:shd w:val="clear" w:color="auto" w:fill="FFFFFF"/>
          <w:lang w:val="lv-LV"/>
        </w:rPr>
        <w:t xml:space="preserve"> tiesnesi</w:t>
      </w:r>
      <w:r>
        <w:rPr>
          <w:rFonts w:asciiTheme="majorBidi" w:hAnsiTheme="majorBidi" w:cstheme="majorBidi"/>
          <w:szCs w:val="24"/>
          <w:shd w:val="clear" w:color="auto" w:fill="FFFFFF"/>
          <w:lang w:val="lv-LV"/>
        </w:rPr>
        <w:t>s</w:t>
      </w:r>
      <w:r w:rsidRPr="00635DA3">
        <w:rPr>
          <w:rFonts w:asciiTheme="majorBidi" w:hAnsiTheme="majorBidi" w:cstheme="majorBidi"/>
          <w:szCs w:val="24"/>
          <w:shd w:val="clear" w:color="auto" w:fill="FFFFFF"/>
          <w:lang w:val="lv-LV"/>
        </w:rPr>
        <w:t xml:space="preserve"> ir pakļauts arī </w:t>
      </w:r>
      <w:r>
        <w:rPr>
          <w:rFonts w:asciiTheme="majorBidi" w:hAnsiTheme="majorBidi" w:cstheme="majorBidi"/>
          <w:szCs w:val="24"/>
          <w:shd w:val="clear" w:color="auto" w:fill="FFFFFF"/>
          <w:lang w:val="lv-LV"/>
        </w:rPr>
        <w:t>ārējai</w:t>
      </w:r>
      <w:r w:rsidRPr="00635DA3">
        <w:rPr>
          <w:rFonts w:asciiTheme="majorBidi" w:hAnsiTheme="majorBidi" w:cstheme="majorBidi"/>
          <w:szCs w:val="24"/>
          <w:shd w:val="clear" w:color="auto" w:fill="FFFFFF"/>
          <w:lang w:val="lv-LV"/>
        </w:rPr>
        <w:t xml:space="preserve"> kritikai</w:t>
      </w:r>
      <w:r>
        <w:rPr>
          <w:rFonts w:asciiTheme="majorBidi" w:hAnsiTheme="majorBidi" w:cstheme="majorBidi"/>
          <w:szCs w:val="24"/>
          <w:shd w:val="clear" w:color="auto" w:fill="FFFFFF"/>
          <w:lang w:val="lv-LV"/>
        </w:rPr>
        <w:t xml:space="preserve"> gan</w:t>
      </w:r>
      <w:r w:rsidRPr="00635DA3">
        <w:rPr>
          <w:rFonts w:asciiTheme="majorBidi" w:hAnsiTheme="majorBidi" w:cstheme="majorBidi"/>
          <w:szCs w:val="24"/>
          <w:shd w:val="clear" w:color="auto" w:fill="FFFFFF"/>
          <w:lang w:val="lv-LV"/>
        </w:rPr>
        <w:t xml:space="preserve"> no lietas dalībniekiem, </w:t>
      </w:r>
      <w:r>
        <w:rPr>
          <w:rFonts w:asciiTheme="majorBidi" w:hAnsiTheme="majorBidi" w:cstheme="majorBidi"/>
          <w:szCs w:val="24"/>
          <w:shd w:val="clear" w:color="auto" w:fill="FFFFFF"/>
          <w:lang w:val="lv-LV"/>
        </w:rPr>
        <w:t xml:space="preserve">gan </w:t>
      </w:r>
      <w:r w:rsidRPr="00635DA3">
        <w:rPr>
          <w:rFonts w:asciiTheme="majorBidi" w:hAnsiTheme="majorBidi" w:cstheme="majorBidi"/>
          <w:szCs w:val="24"/>
          <w:shd w:val="clear" w:color="auto" w:fill="FFFFFF"/>
          <w:lang w:val="lv-LV"/>
        </w:rPr>
        <w:t>sabiedrības</w:t>
      </w:r>
      <w:r>
        <w:rPr>
          <w:rFonts w:asciiTheme="majorBidi" w:hAnsiTheme="majorBidi" w:cstheme="majorBidi"/>
          <w:szCs w:val="24"/>
          <w:shd w:val="clear" w:color="auto" w:fill="FFFFFF"/>
          <w:lang w:val="lv-LV"/>
        </w:rPr>
        <w:t>, gan</w:t>
      </w:r>
      <w:r w:rsidRPr="00635DA3">
        <w:rPr>
          <w:rFonts w:asciiTheme="majorBidi" w:hAnsiTheme="majorBidi" w:cstheme="majorBidi"/>
          <w:szCs w:val="24"/>
          <w:shd w:val="clear" w:color="auto" w:fill="FFFFFF"/>
          <w:lang w:val="lv-LV"/>
        </w:rPr>
        <w:t xml:space="preserve"> plašsaziņas līdzekļiem. Tiesneša darbs pēc būtības ne</w:t>
      </w:r>
      <w:r w:rsidR="000E7784">
        <w:rPr>
          <w:rFonts w:asciiTheme="majorBidi" w:hAnsiTheme="majorBidi" w:cstheme="majorBidi"/>
          <w:szCs w:val="24"/>
          <w:shd w:val="clear" w:color="auto" w:fill="FFFFFF"/>
          <w:lang w:val="lv-LV"/>
        </w:rPr>
        <w:t>izslēdz kļūdīšanos, tajā skaitā</w:t>
      </w:r>
      <w:r w:rsidRPr="00635DA3">
        <w:rPr>
          <w:rFonts w:asciiTheme="majorBidi" w:hAnsiTheme="majorBidi" w:cstheme="majorBidi"/>
          <w:szCs w:val="24"/>
          <w:shd w:val="clear" w:color="auto" w:fill="FFFFFF"/>
          <w:lang w:val="lv-LV"/>
        </w:rPr>
        <w:t xml:space="preserve"> kļūdas var būt arī juridiskas dabas. </w:t>
      </w:r>
    </w:p>
    <w:p w14:paraId="47CAFD11" w14:textId="77777777" w:rsidR="00AF55F0" w:rsidRPr="00635DA3" w:rsidRDefault="00AF55F0" w:rsidP="000E7784">
      <w:pPr>
        <w:spacing w:after="0" w:line="276" w:lineRule="auto"/>
        <w:ind w:firstLine="720"/>
        <w:jc w:val="both"/>
        <w:rPr>
          <w:rFonts w:asciiTheme="majorBidi" w:hAnsiTheme="majorBidi" w:cstheme="majorBidi"/>
          <w:szCs w:val="24"/>
          <w:shd w:val="clear" w:color="auto" w:fill="FFFFFF"/>
          <w:lang w:val="lv-LV"/>
        </w:rPr>
      </w:pPr>
      <w:r w:rsidRPr="00635DA3">
        <w:rPr>
          <w:rFonts w:asciiTheme="majorBidi" w:hAnsiTheme="majorBidi" w:cstheme="majorBidi"/>
          <w:szCs w:val="24"/>
          <w:shd w:val="clear" w:color="auto" w:fill="FFFFFF"/>
          <w:lang w:val="lv-LV"/>
        </w:rPr>
        <w:t xml:space="preserve">Tiesnesim jāapzinās, ka jebkāda </w:t>
      </w:r>
      <w:r>
        <w:rPr>
          <w:rFonts w:asciiTheme="majorBidi" w:hAnsiTheme="majorBidi" w:cstheme="majorBidi"/>
          <w:szCs w:val="24"/>
          <w:shd w:val="clear" w:color="auto" w:fill="FFFFFF"/>
          <w:lang w:val="lv-LV"/>
        </w:rPr>
        <w:t xml:space="preserve">viņa </w:t>
      </w:r>
      <w:r w:rsidRPr="00635DA3">
        <w:rPr>
          <w:rFonts w:asciiTheme="majorBidi" w:hAnsiTheme="majorBidi" w:cstheme="majorBidi"/>
          <w:szCs w:val="24"/>
          <w:shd w:val="clear" w:color="auto" w:fill="FFFFFF"/>
          <w:lang w:val="lv-LV"/>
        </w:rPr>
        <w:t>darba kritika var būt publiski pieejama. Piemēram, sabiedr</w:t>
      </w:r>
      <w:r>
        <w:rPr>
          <w:rFonts w:asciiTheme="majorBidi" w:hAnsiTheme="majorBidi" w:cstheme="majorBidi"/>
          <w:szCs w:val="24"/>
          <w:shd w:val="clear" w:color="auto" w:fill="FFFFFF"/>
          <w:lang w:val="lv-LV"/>
        </w:rPr>
        <w:t>ība</w:t>
      </w:r>
      <w:r w:rsidRPr="00635DA3">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 xml:space="preserve">no dažādiem </w:t>
      </w:r>
      <w:r w:rsidR="000E7784" w:rsidRPr="00635DA3">
        <w:rPr>
          <w:rFonts w:asciiTheme="majorBidi" w:hAnsiTheme="majorBidi" w:cstheme="majorBidi"/>
          <w:szCs w:val="24"/>
          <w:shd w:val="clear" w:color="auto" w:fill="FFFFFF"/>
          <w:lang w:val="lv-LV"/>
        </w:rPr>
        <w:t>plašsaziņas līdzekļiem</w:t>
      </w:r>
      <w:r w:rsidRPr="00635DA3">
        <w:rPr>
          <w:rFonts w:asciiTheme="majorBidi" w:hAnsiTheme="majorBidi" w:cstheme="majorBidi"/>
          <w:szCs w:val="24"/>
          <w:shd w:val="clear" w:color="auto" w:fill="FFFFFF"/>
          <w:lang w:val="lv-LV"/>
        </w:rPr>
        <w:t xml:space="preserve"> var uzzināt par atceltu tiesneša </w:t>
      </w:r>
      <w:r w:rsidR="000E7784">
        <w:rPr>
          <w:rFonts w:asciiTheme="majorBidi" w:hAnsiTheme="majorBidi" w:cstheme="majorBidi"/>
          <w:szCs w:val="24"/>
          <w:shd w:val="clear" w:color="auto" w:fill="FFFFFF"/>
          <w:lang w:val="lv-LV"/>
        </w:rPr>
        <w:t xml:space="preserve">nolēmumu, </w:t>
      </w:r>
      <w:r w:rsidRPr="00635DA3">
        <w:rPr>
          <w:rFonts w:asciiTheme="majorBidi" w:hAnsiTheme="majorBidi" w:cstheme="majorBidi"/>
          <w:szCs w:val="24"/>
          <w:shd w:val="clear" w:color="auto" w:fill="FFFFFF"/>
          <w:lang w:val="lv-LV"/>
        </w:rPr>
        <w:t>saņemtu disciplinārsodu vai negatīvu tiesneša prof</w:t>
      </w:r>
      <w:r w:rsidR="003D79AD">
        <w:rPr>
          <w:rFonts w:asciiTheme="majorBidi" w:hAnsiTheme="majorBidi" w:cstheme="majorBidi"/>
          <w:szCs w:val="24"/>
          <w:shd w:val="clear" w:color="auto" w:fill="FFFFFF"/>
          <w:lang w:val="lv-LV"/>
        </w:rPr>
        <w:t>esionālās darbības novērtējumu, j</w:t>
      </w:r>
      <w:r w:rsidRPr="000E7784">
        <w:rPr>
          <w:rFonts w:asciiTheme="majorBidi" w:hAnsiTheme="majorBidi" w:cstheme="majorBidi"/>
          <w:szCs w:val="24"/>
          <w:shd w:val="clear" w:color="auto" w:fill="FFFFFF"/>
          <w:lang w:val="lv-LV"/>
        </w:rPr>
        <w:t>uridisk</w:t>
      </w:r>
      <w:r w:rsidR="000E7784" w:rsidRPr="000E7784">
        <w:rPr>
          <w:rFonts w:asciiTheme="majorBidi" w:hAnsiTheme="majorBidi" w:cstheme="majorBidi"/>
          <w:szCs w:val="24"/>
          <w:shd w:val="clear" w:color="auto" w:fill="FFFFFF"/>
          <w:lang w:val="lv-LV"/>
        </w:rPr>
        <w:t>os</w:t>
      </w:r>
      <w:r w:rsidR="000E7784">
        <w:rPr>
          <w:rFonts w:asciiTheme="majorBidi" w:hAnsiTheme="majorBidi" w:cstheme="majorBidi"/>
          <w:szCs w:val="24"/>
          <w:shd w:val="clear" w:color="auto" w:fill="FFFFFF"/>
          <w:lang w:val="lv-LV"/>
        </w:rPr>
        <w:t xml:space="preserve"> žurnālos </w:t>
      </w:r>
      <w:r w:rsidRPr="00635DA3">
        <w:rPr>
          <w:rFonts w:asciiTheme="majorBidi" w:hAnsiTheme="majorBidi" w:cstheme="majorBidi"/>
          <w:szCs w:val="24"/>
          <w:shd w:val="clear" w:color="auto" w:fill="FFFFFF"/>
          <w:lang w:val="lv-LV"/>
        </w:rPr>
        <w:t>var tik</w:t>
      </w:r>
      <w:r>
        <w:rPr>
          <w:rFonts w:asciiTheme="majorBidi" w:hAnsiTheme="majorBidi" w:cstheme="majorBidi"/>
          <w:szCs w:val="24"/>
          <w:shd w:val="clear" w:color="auto" w:fill="FFFFFF"/>
          <w:lang w:val="lv-LV"/>
        </w:rPr>
        <w:t>t</w:t>
      </w:r>
      <w:r w:rsidRPr="00635DA3">
        <w:rPr>
          <w:rFonts w:asciiTheme="majorBidi" w:hAnsiTheme="majorBidi" w:cstheme="majorBidi"/>
          <w:szCs w:val="24"/>
          <w:shd w:val="clear" w:color="auto" w:fill="FFFFFF"/>
          <w:lang w:val="lv-LV"/>
        </w:rPr>
        <w:t xml:space="preserve"> publicēts tiesneša nolēmumu kritizējošs raksts.</w:t>
      </w:r>
      <w:r w:rsidR="000E7784">
        <w:rPr>
          <w:rFonts w:asciiTheme="majorBidi" w:hAnsiTheme="majorBidi" w:cstheme="majorBidi"/>
          <w:szCs w:val="24"/>
          <w:shd w:val="clear" w:color="auto" w:fill="FFFFFF"/>
          <w:lang w:val="lv-LV"/>
        </w:rPr>
        <w:t xml:space="preserve"> </w:t>
      </w:r>
      <w:r w:rsidRPr="000E7784">
        <w:rPr>
          <w:rFonts w:asciiTheme="majorBidi" w:hAnsiTheme="majorBidi" w:cstheme="majorBidi"/>
          <w:szCs w:val="24"/>
          <w:shd w:val="clear" w:color="auto" w:fill="FFFFFF"/>
          <w:lang w:val="lv-LV"/>
        </w:rPr>
        <w:t>Tiesnesim jārēķinās, ka šāda kritika var izraisīt ties</w:t>
      </w:r>
      <w:r w:rsidR="004957AF">
        <w:rPr>
          <w:rFonts w:asciiTheme="majorBidi" w:hAnsiTheme="majorBidi" w:cstheme="majorBidi"/>
          <w:szCs w:val="24"/>
          <w:shd w:val="clear" w:color="auto" w:fill="FFFFFF"/>
          <w:lang w:val="lv-LV"/>
        </w:rPr>
        <w:t>neša objektivitātes apšaubīšanu un</w:t>
      </w:r>
      <w:r w:rsidRPr="000E7784">
        <w:rPr>
          <w:rFonts w:asciiTheme="majorBidi" w:hAnsiTheme="majorBidi" w:cstheme="majorBidi"/>
          <w:szCs w:val="24"/>
          <w:shd w:val="clear" w:color="auto" w:fill="FFFFFF"/>
          <w:lang w:val="lv-LV"/>
        </w:rPr>
        <w:t xml:space="preserve"> noraidījuma pieteikšanu.</w:t>
      </w:r>
    </w:p>
    <w:p w14:paraId="515B5D66" w14:textId="77777777" w:rsidR="00AF55F0" w:rsidRPr="00635DA3" w:rsidRDefault="00AF55F0" w:rsidP="00AF55F0">
      <w:pPr>
        <w:spacing w:after="0" w:line="276" w:lineRule="auto"/>
        <w:ind w:firstLine="720"/>
        <w:jc w:val="both"/>
        <w:rPr>
          <w:rFonts w:asciiTheme="majorBidi" w:hAnsiTheme="majorBidi" w:cstheme="majorBidi"/>
          <w:szCs w:val="24"/>
          <w:shd w:val="clear" w:color="auto" w:fill="FFFFFF"/>
          <w:lang w:val="lv-LV"/>
        </w:rPr>
      </w:pPr>
      <w:r w:rsidRPr="00635DA3">
        <w:rPr>
          <w:rFonts w:asciiTheme="majorBidi" w:hAnsiTheme="majorBidi" w:cstheme="majorBidi"/>
          <w:szCs w:val="24"/>
          <w:shd w:val="clear" w:color="auto" w:fill="FFFFFF"/>
          <w:lang w:val="lv-LV"/>
        </w:rPr>
        <w:t>Neskatoties uz to</w:t>
      </w:r>
      <w:r>
        <w:rPr>
          <w:rFonts w:asciiTheme="majorBidi" w:hAnsiTheme="majorBidi" w:cstheme="majorBidi"/>
          <w:szCs w:val="24"/>
          <w:shd w:val="clear" w:color="auto" w:fill="FFFFFF"/>
          <w:lang w:val="lv-LV"/>
        </w:rPr>
        <w:t>,</w:t>
      </w:r>
      <w:r w:rsidRPr="00635DA3">
        <w:rPr>
          <w:rFonts w:asciiTheme="majorBidi" w:hAnsiTheme="majorBidi" w:cstheme="majorBidi"/>
          <w:szCs w:val="24"/>
          <w:shd w:val="clear" w:color="auto" w:fill="FFFFFF"/>
          <w:lang w:val="lv-LV"/>
        </w:rPr>
        <w:t xml:space="preserve"> tiesnesim kā nobriedušai personībai ar augstu pašapziņas līmeni kritik</w:t>
      </w:r>
      <w:r>
        <w:rPr>
          <w:rFonts w:asciiTheme="majorBidi" w:hAnsiTheme="majorBidi" w:cstheme="majorBidi"/>
          <w:szCs w:val="24"/>
          <w:shd w:val="clear" w:color="auto" w:fill="FFFFFF"/>
          <w:lang w:val="lv-LV"/>
        </w:rPr>
        <w:t>a</w:t>
      </w:r>
      <w:r w:rsidRPr="00635DA3">
        <w:rPr>
          <w:rFonts w:asciiTheme="majorBidi" w:hAnsiTheme="majorBidi" w:cstheme="majorBidi"/>
          <w:szCs w:val="24"/>
          <w:shd w:val="clear" w:color="auto" w:fill="FFFFFF"/>
          <w:lang w:val="lv-LV"/>
        </w:rPr>
        <w:t xml:space="preserve"> </w:t>
      </w:r>
      <w:r>
        <w:rPr>
          <w:rFonts w:asciiTheme="majorBidi" w:hAnsiTheme="majorBidi" w:cstheme="majorBidi"/>
          <w:szCs w:val="24"/>
          <w:shd w:val="clear" w:color="auto" w:fill="FFFFFF"/>
          <w:lang w:val="lv-LV"/>
        </w:rPr>
        <w:t>jā</w:t>
      </w:r>
      <w:r w:rsidRPr="00635DA3">
        <w:rPr>
          <w:rFonts w:asciiTheme="majorBidi" w:hAnsiTheme="majorBidi" w:cstheme="majorBidi"/>
          <w:szCs w:val="24"/>
          <w:shd w:val="clear" w:color="auto" w:fill="FFFFFF"/>
          <w:lang w:val="lv-LV"/>
        </w:rPr>
        <w:t xml:space="preserve">uztver konstruktīvi, jāprot savas kļūdas analizēt un </w:t>
      </w:r>
      <w:r>
        <w:rPr>
          <w:rFonts w:asciiTheme="majorBidi" w:hAnsiTheme="majorBidi" w:cstheme="majorBidi"/>
          <w:szCs w:val="24"/>
          <w:shd w:val="clear" w:color="auto" w:fill="FFFFFF"/>
          <w:lang w:val="lv-LV"/>
        </w:rPr>
        <w:t xml:space="preserve">jācenšas </w:t>
      </w:r>
      <w:r w:rsidRPr="00635DA3">
        <w:rPr>
          <w:rFonts w:asciiTheme="majorBidi" w:hAnsiTheme="majorBidi" w:cstheme="majorBidi"/>
          <w:szCs w:val="24"/>
          <w:shd w:val="clear" w:color="auto" w:fill="FFFFFF"/>
          <w:lang w:val="lv-LV"/>
        </w:rPr>
        <w:t>savā profesionāl</w:t>
      </w:r>
      <w:r w:rsidR="00CC24E6">
        <w:rPr>
          <w:rFonts w:asciiTheme="majorBidi" w:hAnsiTheme="majorBidi" w:cstheme="majorBidi"/>
          <w:szCs w:val="24"/>
          <w:shd w:val="clear" w:color="auto" w:fill="FFFFFF"/>
          <w:lang w:val="lv-LV"/>
        </w:rPr>
        <w:t>aj</w:t>
      </w:r>
      <w:r w:rsidRPr="00635DA3">
        <w:rPr>
          <w:rFonts w:asciiTheme="majorBidi" w:hAnsiTheme="majorBidi" w:cstheme="majorBidi"/>
          <w:szCs w:val="24"/>
          <w:shd w:val="clear" w:color="auto" w:fill="FFFFFF"/>
          <w:lang w:val="lv-LV"/>
        </w:rPr>
        <w:t xml:space="preserve">ā darbībā tās </w:t>
      </w:r>
      <w:r w:rsidR="00CC24E6">
        <w:rPr>
          <w:rFonts w:asciiTheme="majorBidi" w:hAnsiTheme="majorBidi" w:cstheme="majorBidi"/>
          <w:szCs w:val="24"/>
          <w:shd w:val="clear" w:color="auto" w:fill="FFFFFF"/>
          <w:lang w:val="lv-LV"/>
        </w:rPr>
        <w:t xml:space="preserve">nepieļaut. </w:t>
      </w:r>
      <w:r w:rsidRPr="00635DA3">
        <w:rPr>
          <w:rFonts w:asciiTheme="majorBidi" w:hAnsiTheme="majorBidi" w:cstheme="majorBidi"/>
          <w:szCs w:val="24"/>
          <w:shd w:val="clear" w:color="auto" w:fill="FFFFFF"/>
          <w:lang w:val="lv-LV"/>
        </w:rPr>
        <w:t>Tiesnesim ir pienākums nepārtraukti pilnveidot savas prof</w:t>
      </w:r>
      <w:r w:rsidR="00CC24E6">
        <w:rPr>
          <w:rFonts w:asciiTheme="majorBidi" w:hAnsiTheme="majorBidi" w:cstheme="majorBidi"/>
          <w:szCs w:val="24"/>
          <w:shd w:val="clear" w:color="auto" w:fill="FFFFFF"/>
          <w:lang w:val="lv-LV"/>
        </w:rPr>
        <w:t xml:space="preserve">esionālās zināšanas un prasmes. </w:t>
      </w:r>
      <w:r>
        <w:rPr>
          <w:rFonts w:asciiTheme="majorBidi" w:hAnsiTheme="majorBidi" w:cstheme="majorBidi"/>
          <w:szCs w:val="24"/>
          <w:shd w:val="clear" w:color="auto" w:fill="FFFFFF"/>
          <w:lang w:val="lv-LV"/>
        </w:rPr>
        <w:t xml:space="preserve">Tādēļ tiesnesis </w:t>
      </w:r>
      <w:r w:rsidRPr="00635DA3">
        <w:rPr>
          <w:rFonts w:asciiTheme="majorBidi" w:hAnsiTheme="majorBidi" w:cstheme="majorBidi"/>
          <w:szCs w:val="24"/>
          <w:shd w:val="clear" w:color="auto" w:fill="FFFFFF"/>
          <w:lang w:val="lv-LV"/>
        </w:rPr>
        <w:t xml:space="preserve">nedrīkst bez objektīva pamata pret sevi vērsto kritiku vai </w:t>
      </w:r>
      <w:r>
        <w:rPr>
          <w:rFonts w:asciiTheme="majorBidi" w:hAnsiTheme="majorBidi" w:cstheme="majorBidi"/>
          <w:szCs w:val="24"/>
          <w:shd w:val="clear" w:color="auto" w:fill="FFFFFF"/>
          <w:lang w:val="lv-LV"/>
        </w:rPr>
        <w:t xml:space="preserve">viņa darbā </w:t>
      </w:r>
      <w:r w:rsidRPr="00635DA3">
        <w:rPr>
          <w:rFonts w:asciiTheme="majorBidi" w:hAnsiTheme="majorBidi" w:cstheme="majorBidi"/>
          <w:szCs w:val="24"/>
          <w:shd w:val="clear" w:color="auto" w:fill="FFFFFF"/>
          <w:lang w:val="lv-LV"/>
        </w:rPr>
        <w:t>atklātās kļūdas pozicionēt kā tādu r</w:t>
      </w:r>
      <w:r w:rsidR="00CC24E6">
        <w:rPr>
          <w:rFonts w:asciiTheme="majorBidi" w:hAnsiTheme="majorBidi" w:cstheme="majorBidi"/>
          <w:szCs w:val="24"/>
          <w:shd w:val="clear" w:color="auto" w:fill="FFFFFF"/>
          <w:lang w:val="lv-LV"/>
        </w:rPr>
        <w:t xml:space="preserve">eputācijas zaudēšanu, kas liedz </w:t>
      </w:r>
      <w:r w:rsidRPr="00635DA3">
        <w:rPr>
          <w:rFonts w:asciiTheme="majorBidi" w:hAnsiTheme="majorBidi" w:cstheme="majorBidi"/>
          <w:szCs w:val="24"/>
          <w:shd w:val="clear" w:color="auto" w:fill="FFFFFF"/>
          <w:lang w:val="lv-LV"/>
        </w:rPr>
        <w:t xml:space="preserve">viņam turpināt godprātīgi pildīt tiesneša pienākumus. Pat pienākums ievērot zināmu diskrētumu un nespēja aizsargāties pret kritiku nedrīkst </w:t>
      </w:r>
      <w:r>
        <w:rPr>
          <w:rFonts w:asciiTheme="majorBidi" w:hAnsiTheme="majorBidi" w:cstheme="majorBidi"/>
          <w:szCs w:val="24"/>
          <w:shd w:val="clear" w:color="auto" w:fill="FFFFFF"/>
          <w:lang w:val="lv-LV"/>
        </w:rPr>
        <w:t xml:space="preserve">likt </w:t>
      </w:r>
      <w:r w:rsidRPr="00635DA3">
        <w:rPr>
          <w:rFonts w:asciiTheme="majorBidi" w:hAnsiTheme="majorBidi" w:cstheme="majorBidi"/>
          <w:szCs w:val="24"/>
          <w:shd w:val="clear" w:color="auto" w:fill="FFFFFF"/>
          <w:lang w:val="lv-LV"/>
        </w:rPr>
        <w:t xml:space="preserve">tiesnesim </w:t>
      </w:r>
      <w:r>
        <w:rPr>
          <w:rFonts w:asciiTheme="majorBidi" w:hAnsiTheme="majorBidi" w:cstheme="majorBidi"/>
          <w:szCs w:val="24"/>
          <w:shd w:val="clear" w:color="auto" w:fill="FFFFFF"/>
          <w:lang w:val="lv-LV"/>
        </w:rPr>
        <w:t xml:space="preserve">pašam </w:t>
      </w:r>
      <w:r w:rsidRPr="00635DA3">
        <w:rPr>
          <w:rFonts w:asciiTheme="majorBidi" w:hAnsiTheme="majorBidi" w:cstheme="majorBidi"/>
          <w:szCs w:val="24"/>
          <w:shd w:val="clear" w:color="auto" w:fill="FFFFFF"/>
          <w:lang w:val="lv-LV"/>
        </w:rPr>
        <w:t xml:space="preserve">apšaubīt savas spējas godprātīgi pildīt tiesneša darbu vai </w:t>
      </w:r>
      <w:r w:rsidR="00CC24E6">
        <w:rPr>
          <w:rFonts w:asciiTheme="majorBidi" w:hAnsiTheme="majorBidi" w:cstheme="majorBidi"/>
          <w:szCs w:val="24"/>
          <w:shd w:val="clear" w:color="auto" w:fill="FFFFFF"/>
          <w:lang w:val="lv-LV"/>
        </w:rPr>
        <w:t>pie</w:t>
      </w:r>
      <w:r w:rsidRPr="00635DA3">
        <w:rPr>
          <w:rFonts w:asciiTheme="majorBidi" w:hAnsiTheme="majorBidi" w:cstheme="majorBidi"/>
          <w:szCs w:val="24"/>
          <w:shd w:val="clear" w:color="auto" w:fill="FFFFFF"/>
          <w:lang w:val="lv-LV"/>
        </w:rPr>
        <w:t xml:space="preserve">ļaut radīt sabiedrībai priekšstatu, ka tiesnesis vairs nespēj objektīvi un taisnīgi spriest tiesu. </w:t>
      </w:r>
    </w:p>
    <w:p w14:paraId="391B054C" w14:textId="77777777" w:rsidR="00AF55F0" w:rsidRPr="00635DA3" w:rsidRDefault="00AF55F0" w:rsidP="00AF55F0">
      <w:pPr>
        <w:spacing w:after="0" w:line="276" w:lineRule="auto"/>
        <w:ind w:firstLine="720"/>
        <w:jc w:val="both"/>
        <w:rPr>
          <w:rFonts w:asciiTheme="majorBidi" w:hAnsiTheme="majorBidi" w:cstheme="majorBidi"/>
          <w:szCs w:val="24"/>
          <w:shd w:val="clear" w:color="auto" w:fill="FFFFFF"/>
          <w:lang w:val="lv-LV"/>
        </w:rPr>
      </w:pPr>
    </w:p>
    <w:p w14:paraId="5CA6F605" w14:textId="77777777" w:rsidR="00AF55F0" w:rsidRPr="00635DA3" w:rsidRDefault="003D79AD" w:rsidP="00AF55F0">
      <w:pPr>
        <w:spacing w:after="0" w:line="276" w:lineRule="auto"/>
        <w:ind w:firstLine="720"/>
        <w:jc w:val="both"/>
        <w:rPr>
          <w:rFonts w:asciiTheme="majorBidi" w:hAnsiTheme="majorBidi" w:cstheme="majorBidi"/>
          <w:shd w:val="clear" w:color="auto" w:fill="FFFFFF"/>
          <w:lang w:val="lv-LV"/>
        </w:rPr>
      </w:pPr>
      <w:r>
        <w:rPr>
          <w:rFonts w:asciiTheme="majorBidi" w:hAnsiTheme="majorBidi" w:cstheme="majorBidi"/>
          <w:szCs w:val="24"/>
          <w:shd w:val="clear" w:color="auto" w:fill="FFFFFF"/>
          <w:lang w:val="lv-LV"/>
        </w:rPr>
        <w:t>[7</w:t>
      </w:r>
      <w:r w:rsidR="00AF55F0" w:rsidRPr="00635DA3">
        <w:rPr>
          <w:rFonts w:asciiTheme="majorBidi" w:hAnsiTheme="majorBidi" w:cstheme="majorBidi"/>
          <w:szCs w:val="24"/>
          <w:shd w:val="clear" w:color="auto" w:fill="FFFFFF"/>
          <w:lang w:val="lv-LV"/>
        </w:rPr>
        <w:t>] Tiesnešu ētikas komisija uzskata, ka līdzīgi jāvērtē arī Tieslietu padomes publiskot</w:t>
      </w:r>
      <w:r w:rsidR="00AF55F0">
        <w:rPr>
          <w:rFonts w:asciiTheme="majorBidi" w:hAnsiTheme="majorBidi" w:cstheme="majorBidi"/>
          <w:szCs w:val="24"/>
          <w:shd w:val="clear" w:color="auto" w:fill="FFFFFF"/>
          <w:lang w:val="lv-LV"/>
        </w:rPr>
        <w:t>ais</w:t>
      </w:r>
      <w:r w:rsidR="00AF55F0" w:rsidRPr="00635DA3">
        <w:rPr>
          <w:rFonts w:asciiTheme="majorBidi" w:hAnsiTheme="majorBidi" w:cstheme="majorBidi"/>
          <w:szCs w:val="24"/>
          <w:shd w:val="clear" w:color="auto" w:fill="FFFFFF"/>
          <w:lang w:val="lv-LV"/>
        </w:rPr>
        <w:t xml:space="preserve"> Ziņojum</w:t>
      </w:r>
      <w:r w:rsidR="00AF55F0">
        <w:rPr>
          <w:rFonts w:asciiTheme="majorBidi" w:hAnsiTheme="majorBidi" w:cstheme="majorBidi"/>
          <w:szCs w:val="24"/>
          <w:shd w:val="clear" w:color="auto" w:fill="FFFFFF"/>
          <w:lang w:val="lv-LV"/>
        </w:rPr>
        <w:t>s</w:t>
      </w:r>
      <w:r w:rsidR="00CC24E6">
        <w:rPr>
          <w:rFonts w:asciiTheme="majorBidi" w:hAnsiTheme="majorBidi" w:cstheme="majorBidi"/>
          <w:szCs w:val="24"/>
          <w:shd w:val="clear" w:color="auto" w:fill="FFFFFF"/>
          <w:lang w:val="lv-LV"/>
        </w:rPr>
        <w:t>, t</w:t>
      </w:r>
      <w:r w:rsidR="00AF55F0">
        <w:rPr>
          <w:rFonts w:asciiTheme="majorBidi" w:hAnsiTheme="majorBidi" w:cstheme="majorBidi"/>
          <w:szCs w:val="24"/>
          <w:shd w:val="clear" w:color="auto" w:fill="FFFFFF"/>
          <w:lang w:val="lv-LV"/>
        </w:rPr>
        <w:t xml:space="preserve">āpēc </w:t>
      </w:r>
      <w:r w:rsidR="00CC24E6">
        <w:rPr>
          <w:rFonts w:asciiTheme="majorBidi" w:hAnsiTheme="majorBidi" w:cstheme="majorBidi"/>
          <w:szCs w:val="24"/>
          <w:shd w:val="clear" w:color="auto" w:fill="FFFFFF"/>
          <w:lang w:val="lv-LV"/>
        </w:rPr>
        <w:t>t</w:t>
      </w:r>
      <w:r w:rsidR="00AF55F0" w:rsidRPr="00635DA3">
        <w:rPr>
          <w:rFonts w:asciiTheme="majorBidi" w:hAnsiTheme="majorBidi" w:cstheme="majorBidi"/>
          <w:szCs w:val="24"/>
          <w:shd w:val="clear" w:color="auto" w:fill="FFFFFF"/>
          <w:lang w:val="lv-LV"/>
        </w:rPr>
        <w:t>ajā paustā kritika pati par sevi atbilstoši Tiesnešu ētika</w:t>
      </w:r>
      <w:r w:rsidR="00AF55F0">
        <w:rPr>
          <w:rFonts w:asciiTheme="majorBidi" w:hAnsiTheme="majorBidi" w:cstheme="majorBidi"/>
          <w:szCs w:val="24"/>
          <w:shd w:val="clear" w:color="auto" w:fill="FFFFFF"/>
          <w:lang w:val="lv-LV"/>
        </w:rPr>
        <w:t>s normām n</w:t>
      </w:r>
      <w:r w:rsidR="00CC24E6">
        <w:rPr>
          <w:rFonts w:asciiTheme="majorBidi" w:hAnsiTheme="majorBidi" w:cstheme="majorBidi"/>
          <w:szCs w:val="24"/>
          <w:shd w:val="clear" w:color="auto" w:fill="FFFFFF"/>
          <w:lang w:val="lv-LV"/>
        </w:rPr>
        <w:t>evar būt par pamatu, lai</w:t>
      </w:r>
      <w:r w:rsidR="00AF55F0">
        <w:rPr>
          <w:rFonts w:asciiTheme="majorBidi" w:hAnsiTheme="majorBidi" w:cstheme="majorBidi"/>
          <w:szCs w:val="24"/>
          <w:shd w:val="clear" w:color="auto" w:fill="FFFFFF"/>
          <w:lang w:val="lv-LV"/>
        </w:rPr>
        <w:t xml:space="preserve"> </w:t>
      </w:r>
      <w:r w:rsidR="00CC24E6">
        <w:rPr>
          <w:rFonts w:asciiTheme="majorBidi" w:hAnsiTheme="majorBidi" w:cstheme="majorBidi"/>
          <w:szCs w:val="24"/>
          <w:shd w:val="clear" w:color="auto" w:fill="FFFFFF"/>
          <w:lang w:val="lv-LV"/>
        </w:rPr>
        <w:t>tiesnesis</w:t>
      </w:r>
      <w:r w:rsidR="00AF55F0">
        <w:rPr>
          <w:rFonts w:asciiTheme="majorBidi" w:hAnsiTheme="majorBidi" w:cstheme="majorBidi"/>
          <w:szCs w:val="24"/>
          <w:shd w:val="clear" w:color="auto" w:fill="FFFFFF"/>
          <w:lang w:val="lv-LV"/>
        </w:rPr>
        <w:t xml:space="preserve"> </w:t>
      </w:r>
      <w:r w:rsidR="00CC24E6">
        <w:rPr>
          <w:rFonts w:asciiTheme="majorBidi" w:hAnsiTheme="majorBidi" w:cstheme="majorBidi"/>
          <w:szCs w:val="24"/>
          <w:shd w:val="clear" w:color="auto" w:fill="FFFFFF"/>
          <w:lang w:val="lv-LV"/>
        </w:rPr>
        <w:t>atstatīto</w:t>
      </w:r>
      <w:r w:rsidR="00AF55F0" w:rsidRPr="00635DA3">
        <w:rPr>
          <w:rFonts w:asciiTheme="majorBidi" w:hAnsiTheme="majorBidi" w:cstheme="majorBidi"/>
          <w:szCs w:val="24"/>
          <w:shd w:val="clear" w:color="auto" w:fill="FFFFFF"/>
          <w:lang w:val="lv-LV"/>
        </w:rPr>
        <w:t>s no liet</w:t>
      </w:r>
      <w:r w:rsidR="00EC4FD1">
        <w:rPr>
          <w:rFonts w:asciiTheme="majorBidi" w:hAnsiTheme="majorBidi" w:cstheme="majorBidi"/>
          <w:szCs w:val="24"/>
          <w:shd w:val="clear" w:color="auto" w:fill="FFFFFF"/>
          <w:lang w:val="lv-LV"/>
        </w:rPr>
        <w:t>as</w:t>
      </w:r>
      <w:r w:rsidR="00AF55F0" w:rsidRPr="00635DA3">
        <w:rPr>
          <w:rFonts w:asciiTheme="majorBidi" w:hAnsiTheme="majorBidi" w:cstheme="majorBidi"/>
          <w:szCs w:val="24"/>
          <w:shd w:val="clear" w:color="auto" w:fill="FFFFFF"/>
          <w:lang w:val="lv-LV"/>
        </w:rPr>
        <w:t xml:space="preserve"> izskatīšanas vai pieņemt</w:t>
      </w:r>
      <w:r w:rsidR="00CC24E6">
        <w:rPr>
          <w:rFonts w:asciiTheme="majorBidi" w:hAnsiTheme="majorBidi" w:cstheme="majorBidi"/>
          <w:szCs w:val="24"/>
          <w:shd w:val="clear" w:color="auto" w:fill="FFFFFF"/>
          <w:lang w:val="lv-LV"/>
        </w:rPr>
        <w:t>u</w:t>
      </w:r>
      <w:r w:rsidR="00AF55F0" w:rsidRPr="00635DA3">
        <w:rPr>
          <w:rFonts w:asciiTheme="majorBidi" w:hAnsiTheme="majorBidi" w:cstheme="majorBidi"/>
          <w:szCs w:val="24"/>
          <w:shd w:val="clear" w:color="auto" w:fill="FFFFFF"/>
          <w:lang w:val="lv-LV"/>
        </w:rPr>
        <w:t xml:space="preserve"> noraidījumu</w:t>
      </w:r>
      <w:r w:rsidR="00AF55F0" w:rsidRPr="00635DA3">
        <w:rPr>
          <w:rFonts w:asciiTheme="majorBidi" w:hAnsiTheme="majorBidi" w:cstheme="majorBidi"/>
          <w:shd w:val="clear" w:color="auto" w:fill="FFFFFF"/>
          <w:lang w:val="lv-LV"/>
        </w:rPr>
        <w:t>.</w:t>
      </w:r>
    </w:p>
    <w:p w14:paraId="0C390D9D"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p>
    <w:p w14:paraId="03CBF3D1"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r w:rsidRPr="00635DA3">
        <w:rPr>
          <w:rFonts w:asciiTheme="majorBidi" w:hAnsiTheme="majorBidi" w:cstheme="majorBidi"/>
          <w:shd w:val="clear" w:color="auto" w:fill="FFFFFF"/>
          <w:lang w:val="lv-LV"/>
        </w:rPr>
        <w:t>Ievērojot iepriekš minēto, Tiesnešu ētikas komisija izskaidro:</w:t>
      </w:r>
    </w:p>
    <w:p w14:paraId="425539BF"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p>
    <w:p w14:paraId="5A951D4A" w14:textId="77777777" w:rsidR="00CC24E6" w:rsidRDefault="00CC24E6" w:rsidP="00AF55F0">
      <w:pPr>
        <w:pStyle w:val="Sarakstarindkopa"/>
        <w:numPr>
          <w:ilvl w:val="0"/>
          <w:numId w:val="1"/>
        </w:numPr>
        <w:spacing w:after="0" w:line="276" w:lineRule="auto"/>
        <w:jc w:val="both"/>
        <w:rPr>
          <w:rFonts w:asciiTheme="majorBidi" w:hAnsiTheme="majorBidi" w:cstheme="majorBidi"/>
          <w:shd w:val="clear" w:color="auto" w:fill="FFFFFF"/>
          <w:lang w:val="lv-LV"/>
        </w:rPr>
      </w:pPr>
      <w:r>
        <w:rPr>
          <w:rFonts w:asciiTheme="majorBidi" w:hAnsiTheme="majorBidi" w:cstheme="majorBidi"/>
          <w:shd w:val="clear" w:color="auto" w:fill="FFFFFF"/>
          <w:lang w:val="lv-LV"/>
        </w:rPr>
        <w:t>tiesneša nekonsekventa rīcība, pieņemot pretējus lēmumus par pieteiktu noraidījumu, pastāvot salīdzināmiem faktiskiem apstākļiem, neatbilst</w:t>
      </w:r>
      <w:r w:rsidRPr="00CC24E6">
        <w:rPr>
          <w:rFonts w:asciiTheme="majorBidi" w:hAnsiTheme="majorBidi" w:cstheme="majorBidi"/>
          <w:shd w:val="clear" w:color="auto" w:fill="FFFFFF"/>
          <w:lang w:val="lv-LV"/>
        </w:rPr>
        <w:t xml:space="preserve"> </w:t>
      </w:r>
      <w:r w:rsidRPr="00635DA3">
        <w:rPr>
          <w:rFonts w:asciiTheme="majorBidi" w:hAnsiTheme="majorBidi" w:cstheme="majorBidi"/>
          <w:shd w:val="clear" w:color="auto" w:fill="FFFFFF"/>
          <w:lang w:val="lv-LV"/>
        </w:rPr>
        <w:t>Tiesnešu ētikas kodeksa normām</w:t>
      </w:r>
      <w:r>
        <w:rPr>
          <w:rFonts w:asciiTheme="majorBidi" w:hAnsiTheme="majorBidi" w:cstheme="majorBidi"/>
          <w:shd w:val="clear" w:color="auto" w:fill="FFFFFF"/>
          <w:lang w:val="lv-LV"/>
        </w:rPr>
        <w:t>;</w:t>
      </w:r>
    </w:p>
    <w:p w14:paraId="259195F9" w14:textId="77777777" w:rsidR="00AF55F0" w:rsidRPr="00635DA3" w:rsidRDefault="00AF55F0" w:rsidP="00AF55F0">
      <w:pPr>
        <w:pStyle w:val="Sarakstarindkopa"/>
        <w:numPr>
          <w:ilvl w:val="0"/>
          <w:numId w:val="1"/>
        </w:numPr>
        <w:spacing w:after="0" w:line="276" w:lineRule="auto"/>
        <w:jc w:val="both"/>
        <w:rPr>
          <w:rFonts w:asciiTheme="majorBidi" w:hAnsiTheme="majorBidi" w:cstheme="majorBidi"/>
          <w:shd w:val="clear" w:color="auto" w:fill="FFFFFF"/>
          <w:lang w:val="lv-LV"/>
        </w:rPr>
      </w:pPr>
      <w:r w:rsidRPr="00635DA3">
        <w:rPr>
          <w:rFonts w:asciiTheme="majorBidi" w:hAnsiTheme="majorBidi" w:cstheme="majorBidi"/>
          <w:shd w:val="clear" w:color="auto" w:fill="FFFFFF"/>
          <w:lang w:val="lv-LV"/>
        </w:rPr>
        <w:t>Tieslietu padomes 2018.gadā publisko</w:t>
      </w:r>
      <w:r>
        <w:rPr>
          <w:rFonts w:asciiTheme="majorBidi" w:hAnsiTheme="majorBidi" w:cstheme="majorBidi"/>
          <w:shd w:val="clear" w:color="auto" w:fill="FFFFFF"/>
          <w:lang w:val="lv-LV"/>
        </w:rPr>
        <w:t>t</w:t>
      </w:r>
      <w:r w:rsidR="00EC4FD1">
        <w:rPr>
          <w:rFonts w:asciiTheme="majorBidi" w:hAnsiTheme="majorBidi" w:cstheme="majorBidi"/>
          <w:shd w:val="clear" w:color="auto" w:fill="FFFFFF"/>
          <w:lang w:val="lv-LV"/>
        </w:rPr>
        <w:t>ai</w:t>
      </w:r>
      <w:r w:rsidRPr="00635DA3">
        <w:rPr>
          <w:rFonts w:asciiTheme="majorBidi" w:hAnsiTheme="majorBidi" w:cstheme="majorBidi"/>
          <w:shd w:val="clear" w:color="auto" w:fill="FFFFFF"/>
          <w:lang w:val="lv-LV"/>
        </w:rPr>
        <w:t xml:space="preserve">s ekspertu komisijas ziņojums </w:t>
      </w:r>
      <w:r w:rsidR="004957AF">
        <w:rPr>
          <w:rFonts w:asciiTheme="majorBidi" w:hAnsiTheme="majorBidi" w:cstheme="majorBidi"/>
          <w:shd w:val="clear" w:color="auto" w:fill="FFFFFF"/>
          <w:lang w:val="lv-LV"/>
        </w:rPr>
        <w:t>,,</w:t>
      </w:r>
      <w:hyperlink r:id="rId8" w:history="1">
        <w:r w:rsidRPr="00CC24E6">
          <w:rPr>
            <w:rStyle w:val="Hipersaite"/>
            <w:rFonts w:asciiTheme="majorBidi" w:hAnsiTheme="majorBidi" w:cstheme="majorBidi"/>
            <w:color w:val="auto"/>
            <w:u w:val="none"/>
            <w:shd w:val="clear" w:color="auto" w:fill="FFFFFF"/>
            <w:lang w:val="lv-LV"/>
          </w:rPr>
          <w:t>Maksātnespējas procesa un tiesiskās aizsar</w:t>
        </w:r>
        <w:r w:rsidR="00CC24E6">
          <w:rPr>
            <w:rStyle w:val="Hipersaite"/>
            <w:rFonts w:asciiTheme="majorBidi" w:hAnsiTheme="majorBidi" w:cstheme="majorBidi"/>
            <w:color w:val="auto"/>
            <w:u w:val="none"/>
            <w:shd w:val="clear" w:color="auto" w:fill="FFFFFF"/>
            <w:lang w:val="lv-LV"/>
          </w:rPr>
          <w:t>dzības procesa tiesvedību 2008.-</w:t>
        </w:r>
        <w:r w:rsidRPr="00CC24E6">
          <w:rPr>
            <w:rStyle w:val="Hipersaite"/>
            <w:rFonts w:asciiTheme="majorBidi" w:hAnsiTheme="majorBidi" w:cstheme="majorBidi"/>
            <w:color w:val="auto"/>
            <w:u w:val="none"/>
            <w:shd w:val="clear" w:color="auto" w:fill="FFFFFF"/>
            <w:lang w:val="lv-LV"/>
          </w:rPr>
          <w:t xml:space="preserve">2014.gadā </w:t>
        </w:r>
        <w:proofErr w:type="spellStart"/>
        <w:r w:rsidRPr="00CC24E6">
          <w:rPr>
            <w:rStyle w:val="Hipersaite"/>
            <w:rFonts w:asciiTheme="majorBidi" w:hAnsiTheme="majorBidi" w:cstheme="majorBidi"/>
            <w:color w:val="auto"/>
            <w:u w:val="none"/>
            <w:shd w:val="clear" w:color="auto" w:fill="FFFFFF"/>
            <w:lang w:val="lv-LV"/>
          </w:rPr>
          <w:t>izvērtējums</w:t>
        </w:r>
        <w:proofErr w:type="spellEnd"/>
      </w:hyperlink>
      <w:r w:rsidRPr="00CC24E6">
        <w:rPr>
          <w:rFonts w:asciiTheme="majorBidi" w:hAnsiTheme="majorBidi" w:cstheme="majorBidi"/>
          <w:shd w:val="clear" w:color="auto" w:fill="FFFFFF"/>
          <w:lang w:val="lv-LV"/>
        </w:rPr>
        <w:t xml:space="preserve">” </w:t>
      </w:r>
      <w:r w:rsidRPr="00635DA3">
        <w:rPr>
          <w:rFonts w:asciiTheme="majorBidi" w:hAnsiTheme="majorBidi" w:cstheme="majorBidi"/>
          <w:shd w:val="clear" w:color="auto" w:fill="FFFFFF"/>
          <w:lang w:val="lv-LV"/>
        </w:rPr>
        <w:t xml:space="preserve">pats par sevi nerada tajā minētajiem tiesnešiem apstākļus, kas saskaņā ar Tiesnešu ētikas kodeksa normām </w:t>
      </w:r>
      <w:r w:rsidR="00CC24E6">
        <w:rPr>
          <w:rFonts w:asciiTheme="majorBidi" w:hAnsiTheme="majorBidi" w:cstheme="majorBidi"/>
          <w:shd w:val="clear" w:color="auto" w:fill="FFFFFF"/>
          <w:lang w:val="lv-LV"/>
        </w:rPr>
        <w:t>varē</w:t>
      </w:r>
      <w:r w:rsidRPr="00635DA3">
        <w:rPr>
          <w:rFonts w:asciiTheme="majorBidi" w:hAnsiTheme="majorBidi" w:cstheme="majorBidi"/>
          <w:shd w:val="clear" w:color="auto" w:fill="FFFFFF"/>
          <w:lang w:val="lv-LV"/>
        </w:rPr>
        <w:t>tu</w:t>
      </w:r>
      <w:r w:rsidR="00CC24E6">
        <w:rPr>
          <w:rFonts w:asciiTheme="majorBidi" w:hAnsiTheme="majorBidi" w:cstheme="majorBidi"/>
          <w:shd w:val="clear" w:color="auto" w:fill="FFFFFF"/>
          <w:lang w:val="lv-LV"/>
        </w:rPr>
        <w:t xml:space="preserve"> būt par </w:t>
      </w:r>
      <w:r w:rsidRPr="00635DA3">
        <w:rPr>
          <w:rFonts w:asciiTheme="majorBidi" w:hAnsiTheme="majorBidi" w:cstheme="majorBidi"/>
          <w:shd w:val="clear" w:color="auto" w:fill="FFFFFF"/>
          <w:lang w:val="lv-LV"/>
        </w:rPr>
        <w:t>pamat</w:t>
      </w:r>
      <w:r>
        <w:rPr>
          <w:rFonts w:asciiTheme="majorBidi" w:hAnsiTheme="majorBidi" w:cstheme="majorBidi"/>
          <w:shd w:val="clear" w:color="auto" w:fill="FFFFFF"/>
          <w:lang w:val="lv-LV"/>
        </w:rPr>
        <w:t>u</w:t>
      </w:r>
      <w:r w:rsidR="00CC24E6">
        <w:rPr>
          <w:rFonts w:asciiTheme="majorBidi" w:hAnsiTheme="majorBidi" w:cstheme="majorBidi"/>
          <w:shd w:val="clear" w:color="auto" w:fill="FFFFFF"/>
          <w:lang w:val="lv-LV"/>
        </w:rPr>
        <w:t>, lai</w:t>
      </w:r>
      <w:r w:rsidRPr="00635DA3">
        <w:rPr>
          <w:rFonts w:asciiTheme="majorBidi" w:hAnsiTheme="majorBidi" w:cstheme="majorBidi"/>
          <w:shd w:val="clear" w:color="auto" w:fill="FFFFFF"/>
          <w:lang w:val="lv-LV"/>
        </w:rPr>
        <w:t xml:space="preserve"> atstatīt</w:t>
      </w:r>
      <w:r w:rsidR="00CC24E6">
        <w:rPr>
          <w:rFonts w:asciiTheme="majorBidi" w:hAnsiTheme="majorBidi" w:cstheme="majorBidi"/>
          <w:shd w:val="clear" w:color="auto" w:fill="FFFFFF"/>
          <w:lang w:val="lv-LV"/>
        </w:rPr>
        <w:t>u</w:t>
      </w:r>
      <w:r w:rsidRPr="00635DA3">
        <w:rPr>
          <w:rFonts w:asciiTheme="majorBidi" w:hAnsiTheme="majorBidi" w:cstheme="majorBidi"/>
          <w:shd w:val="clear" w:color="auto" w:fill="FFFFFF"/>
          <w:lang w:val="lv-LV"/>
        </w:rPr>
        <w:t xml:space="preserve"> sevi no </w:t>
      </w:r>
      <w:r>
        <w:rPr>
          <w:rFonts w:asciiTheme="majorBidi" w:hAnsiTheme="majorBidi" w:cstheme="majorBidi"/>
          <w:shd w:val="clear" w:color="auto" w:fill="FFFFFF"/>
          <w:lang w:val="lv-LV"/>
        </w:rPr>
        <w:t xml:space="preserve">citas </w:t>
      </w:r>
      <w:r w:rsidRPr="00635DA3">
        <w:rPr>
          <w:rFonts w:asciiTheme="majorBidi" w:hAnsiTheme="majorBidi" w:cstheme="majorBidi"/>
          <w:shd w:val="clear" w:color="auto" w:fill="FFFFFF"/>
          <w:lang w:val="lv-LV"/>
        </w:rPr>
        <w:t>lietas izskatīšanas vai pieņemt</w:t>
      </w:r>
      <w:r w:rsidR="00CC24E6">
        <w:rPr>
          <w:rFonts w:asciiTheme="majorBidi" w:hAnsiTheme="majorBidi" w:cstheme="majorBidi"/>
          <w:shd w:val="clear" w:color="auto" w:fill="FFFFFF"/>
          <w:lang w:val="lv-LV"/>
        </w:rPr>
        <w:t>u</w:t>
      </w:r>
      <w:r w:rsidRPr="00635DA3">
        <w:rPr>
          <w:rFonts w:asciiTheme="majorBidi" w:hAnsiTheme="majorBidi" w:cstheme="majorBidi"/>
          <w:shd w:val="clear" w:color="auto" w:fill="FFFFFF"/>
          <w:lang w:val="lv-LV"/>
        </w:rPr>
        <w:t xml:space="preserve"> noraidījumu, kas pamatots ar </w:t>
      </w:r>
      <w:r w:rsidR="004957AF">
        <w:rPr>
          <w:rFonts w:asciiTheme="majorBidi" w:hAnsiTheme="majorBidi" w:cstheme="majorBidi"/>
          <w:shd w:val="clear" w:color="auto" w:fill="FFFFFF"/>
          <w:lang w:val="lv-LV"/>
        </w:rPr>
        <w:t xml:space="preserve">informāciju šajā </w:t>
      </w:r>
      <w:r w:rsidRPr="00635DA3">
        <w:rPr>
          <w:rFonts w:asciiTheme="majorBidi" w:hAnsiTheme="majorBidi" w:cstheme="majorBidi"/>
          <w:shd w:val="clear" w:color="auto" w:fill="FFFFFF"/>
          <w:lang w:val="lv-LV"/>
        </w:rPr>
        <w:t xml:space="preserve"> </w:t>
      </w:r>
      <w:r>
        <w:rPr>
          <w:rFonts w:asciiTheme="majorBidi" w:hAnsiTheme="majorBidi" w:cstheme="majorBidi"/>
          <w:shd w:val="clear" w:color="auto" w:fill="FFFFFF"/>
          <w:lang w:val="lv-LV"/>
        </w:rPr>
        <w:t>z</w:t>
      </w:r>
      <w:r w:rsidR="004957AF">
        <w:rPr>
          <w:rFonts w:asciiTheme="majorBidi" w:hAnsiTheme="majorBidi" w:cstheme="majorBidi"/>
          <w:shd w:val="clear" w:color="auto" w:fill="FFFFFF"/>
          <w:lang w:val="lv-LV"/>
        </w:rPr>
        <w:t>iņojumā</w:t>
      </w:r>
      <w:r w:rsidRPr="00635DA3">
        <w:rPr>
          <w:rFonts w:asciiTheme="majorBidi" w:hAnsiTheme="majorBidi" w:cstheme="majorBidi"/>
          <w:shd w:val="clear" w:color="auto" w:fill="FFFFFF"/>
          <w:lang w:val="lv-LV"/>
        </w:rPr>
        <w:t>.</w:t>
      </w:r>
    </w:p>
    <w:p w14:paraId="5D332F1F" w14:textId="77777777" w:rsidR="00AF55F0" w:rsidRPr="00635DA3" w:rsidRDefault="00AF55F0" w:rsidP="00AF55F0">
      <w:pPr>
        <w:spacing w:after="0" w:line="276" w:lineRule="auto"/>
        <w:ind w:firstLine="720"/>
        <w:jc w:val="both"/>
        <w:rPr>
          <w:rFonts w:asciiTheme="majorBidi" w:hAnsiTheme="majorBidi" w:cstheme="majorBidi"/>
          <w:shd w:val="clear" w:color="auto" w:fill="FFFFFF"/>
          <w:lang w:val="lv-LV"/>
        </w:rPr>
      </w:pPr>
    </w:p>
    <w:tbl>
      <w:tblPr>
        <w:tblW w:w="9606" w:type="dxa"/>
        <w:tblLook w:val="04A0" w:firstRow="1" w:lastRow="0" w:firstColumn="1" w:lastColumn="0" w:noHBand="0" w:noVBand="1"/>
      </w:tblPr>
      <w:tblGrid>
        <w:gridCol w:w="7479"/>
        <w:gridCol w:w="2127"/>
      </w:tblGrid>
      <w:tr w:rsidR="00AF55F0" w:rsidRPr="00635DA3" w14:paraId="028F47D9" w14:textId="77777777" w:rsidTr="00F24235">
        <w:trPr>
          <w:trHeight w:val="377"/>
        </w:trPr>
        <w:tc>
          <w:tcPr>
            <w:tcW w:w="7479" w:type="dxa"/>
            <w:shd w:val="clear" w:color="auto" w:fill="auto"/>
          </w:tcPr>
          <w:p w14:paraId="0FA3A4E9" w14:textId="77777777" w:rsidR="00AF55F0" w:rsidRPr="00635DA3" w:rsidRDefault="00AF55F0" w:rsidP="00EA06AA">
            <w:pPr>
              <w:rPr>
                <w:lang w:val="lv-LV"/>
              </w:rPr>
            </w:pPr>
            <w:r w:rsidRPr="00635DA3">
              <w:rPr>
                <w:lang w:val="lv-LV"/>
              </w:rPr>
              <w:t>Komisijas priekšsēdētāja:</w:t>
            </w:r>
          </w:p>
        </w:tc>
        <w:tc>
          <w:tcPr>
            <w:tcW w:w="2127" w:type="dxa"/>
            <w:shd w:val="clear" w:color="auto" w:fill="auto"/>
          </w:tcPr>
          <w:p w14:paraId="13FA40A9" w14:textId="0AF633F4" w:rsidR="009A5871" w:rsidRPr="00635DA3" w:rsidRDefault="00AF55F0" w:rsidP="00EA06AA">
            <w:pPr>
              <w:rPr>
                <w:lang w:val="lv-LV"/>
              </w:rPr>
            </w:pPr>
            <w:r w:rsidRPr="00635DA3">
              <w:rPr>
                <w:lang w:val="lv-LV"/>
              </w:rPr>
              <w:t>Dace Skrauple</w:t>
            </w:r>
          </w:p>
        </w:tc>
      </w:tr>
      <w:tr w:rsidR="00AF55F0" w:rsidRPr="00635DA3" w14:paraId="69CE4BD9" w14:textId="77777777" w:rsidTr="00F24235">
        <w:tc>
          <w:tcPr>
            <w:tcW w:w="7479" w:type="dxa"/>
            <w:shd w:val="clear" w:color="auto" w:fill="auto"/>
          </w:tcPr>
          <w:p w14:paraId="4DC40900" w14:textId="77777777" w:rsidR="00AF55F0" w:rsidRPr="00635DA3" w:rsidRDefault="00AF55F0" w:rsidP="00EA06AA">
            <w:pPr>
              <w:rPr>
                <w:lang w:val="lv-LV"/>
              </w:rPr>
            </w:pPr>
            <w:r w:rsidRPr="00635DA3">
              <w:rPr>
                <w:lang w:val="lv-LV"/>
              </w:rPr>
              <w:t>Komisijas locekļi:</w:t>
            </w:r>
          </w:p>
        </w:tc>
        <w:tc>
          <w:tcPr>
            <w:tcW w:w="2127" w:type="dxa"/>
            <w:shd w:val="clear" w:color="auto" w:fill="auto"/>
          </w:tcPr>
          <w:p w14:paraId="650525B0" w14:textId="55A2A7C1" w:rsidR="009A5871" w:rsidRDefault="00AF55F0" w:rsidP="00F24235">
            <w:pPr>
              <w:spacing w:line="240" w:lineRule="auto"/>
              <w:ind w:right="43"/>
              <w:rPr>
                <w:lang w:val="lv-LV"/>
              </w:rPr>
            </w:pPr>
            <w:r w:rsidRPr="00635DA3">
              <w:rPr>
                <w:lang w:val="lv-LV"/>
              </w:rPr>
              <w:t>Madara Ābele</w:t>
            </w:r>
          </w:p>
          <w:p w14:paraId="5B04FF98" w14:textId="5D260B79" w:rsidR="009A5871" w:rsidRPr="00635DA3" w:rsidRDefault="00CC24E6" w:rsidP="00F24235">
            <w:pPr>
              <w:spacing w:line="240" w:lineRule="auto"/>
              <w:ind w:right="43"/>
              <w:rPr>
                <w:lang w:val="lv-LV"/>
              </w:rPr>
            </w:pPr>
            <w:r w:rsidRPr="00635DA3">
              <w:rPr>
                <w:lang w:val="lv-LV"/>
              </w:rPr>
              <w:t>Jānis Grīnbergs</w:t>
            </w:r>
          </w:p>
        </w:tc>
      </w:tr>
      <w:tr w:rsidR="00AF55F0" w:rsidRPr="00635DA3" w14:paraId="2FBDDCFB" w14:textId="77777777" w:rsidTr="00F24235">
        <w:tc>
          <w:tcPr>
            <w:tcW w:w="7479" w:type="dxa"/>
            <w:shd w:val="clear" w:color="auto" w:fill="auto"/>
          </w:tcPr>
          <w:p w14:paraId="2A40B7AC" w14:textId="77777777" w:rsidR="00AF55F0" w:rsidRPr="00635DA3" w:rsidRDefault="00AF55F0" w:rsidP="00EA06AA">
            <w:pPr>
              <w:rPr>
                <w:lang w:val="lv-LV"/>
              </w:rPr>
            </w:pPr>
          </w:p>
        </w:tc>
        <w:tc>
          <w:tcPr>
            <w:tcW w:w="2127" w:type="dxa"/>
            <w:shd w:val="clear" w:color="auto" w:fill="auto"/>
          </w:tcPr>
          <w:p w14:paraId="0FD31449" w14:textId="368B8514" w:rsidR="009A5871" w:rsidRPr="00635DA3" w:rsidRDefault="00AF55F0" w:rsidP="00F24235">
            <w:pPr>
              <w:spacing w:line="240" w:lineRule="auto"/>
              <w:ind w:right="43"/>
              <w:rPr>
                <w:lang w:val="lv-LV"/>
              </w:rPr>
            </w:pPr>
            <w:r w:rsidRPr="00635DA3">
              <w:rPr>
                <w:lang w:val="lv-LV"/>
              </w:rPr>
              <w:t>Aija Jermacāne</w:t>
            </w:r>
          </w:p>
        </w:tc>
      </w:tr>
      <w:tr w:rsidR="00AF55F0" w:rsidRPr="00635DA3" w14:paraId="687CEDC6" w14:textId="77777777" w:rsidTr="00F24235">
        <w:tc>
          <w:tcPr>
            <w:tcW w:w="7479" w:type="dxa"/>
            <w:shd w:val="clear" w:color="auto" w:fill="auto"/>
          </w:tcPr>
          <w:p w14:paraId="21D36652" w14:textId="77777777" w:rsidR="00AF55F0" w:rsidRPr="00635DA3" w:rsidRDefault="00AF55F0" w:rsidP="00EA06AA">
            <w:pPr>
              <w:rPr>
                <w:lang w:val="lv-LV"/>
              </w:rPr>
            </w:pPr>
          </w:p>
        </w:tc>
        <w:tc>
          <w:tcPr>
            <w:tcW w:w="2127" w:type="dxa"/>
            <w:shd w:val="clear" w:color="auto" w:fill="auto"/>
          </w:tcPr>
          <w:p w14:paraId="46092929" w14:textId="68BB1212" w:rsidR="009A5871" w:rsidRPr="00635DA3" w:rsidRDefault="00AF55F0" w:rsidP="00F24235">
            <w:pPr>
              <w:spacing w:line="240" w:lineRule="auto"/>
              <w:ind w:right="43"/>
              <w:rPr>
                <w:lang w:val="lv-LV"/>
              </w:rPr>
            </w:pPr>
            <w:r w:rsidRPr="00635DA3">
              <w:rPr>
                <w:lang w:val="lv-LV"/>
              </w:rPr>
              <w:t>Adrija Kasakovska</w:t>
            </w:r>
          </w:p>
        </w:tc>
      </w:tr>
      <w:tr w:rsidR="00AF55F0" w:rsidRPr="00635DA3" w14:paraId="306E8972" w14:textId="77777777" w:rsidTr="00F24235">
        <w:tc>
          <w:tcPr>
            <w:tcW w:w="7479" w:type="dxa"/>
            <w:shd w:val="clear" w:color="auto" w:fill="auto"/>
          </w:tcPr>
          <w:p w14:paraId="1BBAA3A4" w14:textId="77777777" w:rsidR="00AF55F0" w:rsidRPr="00635DA3" w:rsidRDefault="00AF55F0" w:rsidP="00EA06AA">
            <w:pPr>
              <w:rPr>
                <w:lang w:val="lv-LV"/>
              </w:rPr>
            </w:pPr>
          </w:p>
        </w:tc>
        <w:tc>
          <w:tcPr>
            <w:tcW w:w="2127" w:type="dxa"/>
            <w:shd w:val="clear" w:color="auto" w:fill="auto"/>
          </w:tcPr>
          <w:p w14:paraId="622494D5" w14:textId="28F10A11" w:rsidR="009A5871" w:rsidRPr="00635DA3" w:rsidRDefault="00AF55F0" w:rsidP="00F24235">
            <w:pPr>
              <w:spacing w:line="240" w:lineRule="auto"/>
              <w:ind w:right="43"/>
              <w:rPr>
                <w:lang w:val="lv-LV"/>
              </w:rPr>
            </w:pPr>
            <w:r w:rsidRPr="00635DA3">
              <w:rPr>
                <w:lang w:val="lv-LV"/>
              </w:rPr>
              <w:t>Anda Kraukle</w:t>
            </w:r>
          </w:p>
        </w:tc>
      </w:tr>
      <w:tr w:rsidR="00AF55F0" w:rsidRPr="00635DA3" w14:paraId="66969A4D" w14:textId="77777777" w:rsidTr="00F24235">
        <w:tc>
          <w:tcPr>
            <w:tcW w:w="7479" w:type="dxa"/>
            <w:shd w:val="clear" w:color="auto" w:fill="auto"/>
          </w:tcPr>
          <w:p w14:paraId="1B9B9AA1" w14:textId="77777777" w:rsidR="00AF55F0" w:rsidRPr="00635DA3" w:rsidRDefault="00AF55F0" w:rsidP="00EA06AA">
            <w:pPr>
              <w:rPr>
                <w:lang w:val="lv-LV"/>
              </w:rPr>
            </w:pPr>
          </w:p>
        </w:tc>
        <w:tc>
          <w:tcPr>
            <w:tcW w:w="2127" w:type="dxa"/>
            <w:shd w:val="clear" w:color="auto" w:fill="auto"/>
          </w:tcPr>
          <w:p w14:paraId="3B87DF84" w14:textId="6DBEE48B" w:rsidR="009A5871" w:rsidRPr="00635DA3" w:rsidRDefault="00AF55F0" w:rsidP="00F24235">
            <w:pPr>
              <w:spacing w:line="240" w:lineRule="auto"/>
              <w:ind w:right="43"/>
              <w:rPr>
                <w:lang w:val="lv-LV"/>
              </w:rPr>
            </w:pPr>
            <w:r w:rsidRPr="00635DA3">
              <w:rPr>
                <w:lang w:val="lv-LV"/>
              </w:rPr>
              <w:t>Baiba Lielpētere</w:t>
            </w:r>
          </w:p>
        </w:tc>
      </w:tr>
      <w:tr w:rsidR="00AF55F0" w:rsidRPr="00635DA3" w14:paraId="11722F2E" w14:textId="77777777" w:rsidTr="00F24235">
        <w:tc>
          <w:tcPr>
            <w:tcW w:w="7479" w:type="dxa"/>
            <w:shd w:val="clear" w:color="auto" w:fill="auto"/>
          </w:tcPr>
          <w:p w14:paraId="3AAA6386" w14:textId="77777777" w:rsidR="00AF55F0" w:rsidRPr="00635DA3" w:rsidRDefault="00AF55F0" w:rsidP="00EA06AA">
            <w:pPr>
              <w:rPr>
                <w:lang w:val="lv-LV"/>
              </w:rPr>
            </w:pPr>
          </w:p>
        </w:tc>
        <w:tc>
          <w:tcPr>
            <w:tcW w:w="2127" w:type="dxa"/>
            <w:shd w:val="clear" w:color="auto" w:fill="auto"/>
          </w:tcPr>
          <w:p w14:paraId="35B8E692" w14:textId="1A8985FA" w:rsidR="009A5871" w:rsidRPr="00635DA3" w:rsidRDefault="00AF55F0" w:rsidP="00F24235">
            <w:pPr>
              <w:spacing w:line="240" w:lineRule="auto"/>
              <w:ind w:right="43"/>
              <w:rPr>
                <w:lang w:val="lv-LV"/>
              </w:rPr>
            </w:pPr>
            <w:r w:rsidRPr="00635DA3">
              <w:rPr>
                <w:lang w:val="lv-LV"/>
              </w:rPr>
              <w:t>Diāna Makarova</w:t>
            </w:r>
          </w:p>
        </w:tc>
      </w:tr>
      <w:tr w:rsidR="00AF55F0" w:rsidRPr="00635DA3" w14:paraId="1D13C5E7" w14:textId="77777777" w:rsidTr="00F24235">
        <w:tc>
          <w:tcPr>
            <w:tcW w:w="7479" w:type="dxa"/>
            <w:shd w:val="clear" w:color="auto" w:fill="auto"/>
          </w:tcPr>
          <w:p w14:paraId="6488BDC4" w14:textId="77777777" w:rsidR="00AF55F0" w:rsidRPr="00635DA3" w:rsidRDefault="00AF55F0" w:rsidP="00EA06AA">
            <w:pPr>
              <w:rPr>
                <w:lang w:val="lv-LV"/>
              </w:rPr>
            </w:pPr>
          </w:p>
        </w:tc>
        <w:tc>
          <w:tcPr>
            <w:tcW w:w="2127" w:type="dxa"/>
            <w:shd w:val="clear" w:color="auto" w:fill="auto"/>
          </w:tcPr>
          <w:p w14:paraId="288BFA73" w14:textId="47473313" w:rsidR="00AF55F0" w:rsidRPr="00635DA3" w:rsidRDefault="00AF55F0" w:rsidP="00F24235">
            <w:pPr>
              <w:spacing w:line="240" w:lineRule="auto"/>
              <w:ind w:right="43"/>
              <w:rPr>
                <w:lang w:val="lv-LV"/>
              </w:rPr>
            </w:pPr>
            <w:r w:rsidRPr="00635DA3">
              <w:rPr>
                <w:lang w:val="lv-LV"/>
              </w:rPr>
              <w:t>Inese Laura Zemīt</w:t>
            </w:r>
            <w:r w:rsidR="00063072">
              <w:rPr>
                <w:lang w:val="lv-LV"/>
              </w:rPr>
              <w:t>e</w:t>
            </w:r>
          </w:p>
        </w:tc>
      </w:tr>
    </w:tbl>
    <w:p w14:paraId="4BCA64A4" w14:textId="77777777" w:rsidR="00833103" w:rsidRDefault="00833103" w:rsidP="00A467FF"/>
    <w:sectPr w:rsidR="00833103" w:rsidSect="00A04B84">
      <w:footerReference w:type="default" r:id="rId9"/>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9A669" w14:textId="77777777" w:rsidR="004E208A" w:rsidRDefault="004E208A">
      <w:pPr>
        <w:spacing w:after="0" w:line="240" w:lineRule="auto"/>
      </w:pPr>
      <w:r>
        <w:separator/>
      </w:r>
    </w:p>
  </w:endnote>
  <w:endnote w:type="continuationSeparator" w:id="0">
    <w:p w14:paraId="09164A5B" w14:textId="77777777" w:rsidR="004E208A" w:rsidRDefault="004E2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574211"/>
      <w:docPartObj>
        <w:docPartGallery w:val="Page Numbers (Bottom of Page)"/>
        <w:docPartUnique/>
      </w:docPartObj>
    </w:sdtPr>
    <w:sdtEndPr>
      <w:rPr>
        <w:noProof/>
      </w:rPr>
    </w:sdtEndPr>
    <w:sdtContent>
      <w:p w14:paraId="29B29047" w14:textId="77777777" w:rsidR="00D158BE" w:rsidRDefault="00EC4FD1">
        <w:pPr>
          <w:pStyle w:val="Kjene"/>
          <w:jc w:val="center"/>
        </w:pPr>
        <w:r>
          <w:fldChar w:fldCharType="begin"/>
        </w:r>
        <w:r>
          <w:instrText xml:space="preserve"> PAGE   \* MERGEFORMAT </w:instrText>
        </w:r>
        <w:r>
          <w:fldChar w:fldCharType="separate"/>
        </w:r>
        <w:r w:rsidR="004957AF">
          <w:rPr>
            <w:noProof/>
          </w:rPr>
          <w:t>1</w:t>
        </w:r>
        <w:r>
          <w:rPr>
            <w:noProof/>
          </w:rPr>
          <w:fldChar w:fldCharType="end"/>
        </w:r>
      </w:p>
    </w:sdtContent>
  </w:sdt>
  <w:p w14:paraId="4255CE75" w14:textId="77777777" w:rsidR="00D158BE" w:rsidRDefault="00F2423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3CE75" w14:textId="77777777" w:rsidR="004E208A" w:rsidRDefault="004E208A">
      <w:pPr>
        <w:spacing w:after="0" w:line="240" w:lineRule="auto"/>
      </w:pPr>
      <w:r>
        <w:separator/>
      </w:r>
    </w:p>
  </w:footnote>
  <w:footnote w:type="continuationSeparator" w:id="0">
    <w:p w14:paraId="7AC461DC" w14:textId="77777777" w:rsidR="004E208A" w:rsidRDefault="004E20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1285F"/>
    <w:multiLevelType w:val="hybridMultilevel"/>
    <w:tmpl w:val="64AEE79C"/>
    <w:lvl w:ilvl="0" w:tplc="677440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97348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5F0"/>
    <w:rsid w:val="00063072"/>
    <w:rsid w:val="000E7784"/>
    <w:rsid w:val="00293893"/>
    <w:rsid w:val="003D79AD"/>
    <w:rsid w:val="00485A16"/>
    <w:rsid w:val="004957AF"/>
    <w:rsid w:val="004E208A"/>
    <w:rsid w:val="0071521E"/>
    <w:rsid w:val="007339F0"/>
    <w:rsid w:val="00833103"/>
    <w:rsid w:val="009A32C7"/>
    <w:rsid w:val="009A5871"/>
    <w:rsid w:val="00A467FF"/>
    <w:rsid w:val="00AF55F0"/>
    <w:rsid w:val="00CC24E6"/>
    <w:rsid w:val="00D333C2"/>
    <w:rsid w:val="00E37993"/>
    <w:rsid w:val="00EC4FD1"/>
    <w:rsid w:val="00F242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69F04"/>
  <w15:docId w15:val="{EFFD6230-1CC1-4D60-9258-157E20C74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276" w:lineRule="auto"/>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5F0"/>
    <w:pPr>
      <w:spacing w:after="160" w:line="259" w:lineRule="auto"/>
      <w:ind w:firstLine="0"/>
      <w:jc w:val="left"/>
    </w:pPr>
    <w:rPr>
      <w:rFonts w:ascii="Times New Roman" w:hAnsi="Times New Roman"/>
      <w:sz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F55F0"/>
    <w:pPr>
      <w:ind w:left="720"/>
      <w:contextualSpacing/>
    </w:pPr>
  </w:style>
  <w:style w:type="paragraph" w:styleId="Kjene">
    <w:name w:val="footer"/>
    <w:basedOn w:val="Parasts"/>
    <w:link w:val="KjeneRakstz"/>
    <w:uiPriority w:val="99"/>
    <w:unhideWhenUsed/>
    <w:rsid w:val="00AF55F0"/>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AF55F0"/>
    <w:rPr>
      <w:rFonts w:ascii="Times New Roman" w:hAnsi="Times New Roman"/>
      <w:sz w:val="24"/>
      <w:lang w:val="en-US"/>
    </w:rPr>
  </w:style>
  <w:style w:type="character" w:styleId="Hipersaite">
    <w:name w:val="Hyperlink"/>
    <w:basedOn w:val="Noklusjumarindkopasfonts"/>
    <w:uiPriority w:val="99"/>
    <w:unhideWhenUsed/>
    <w:rsid w:val="00AF55F0"/>
    <w:rPr>
      <w:color w:val="0000FF" w:themeColor="hyperlink"/>
      <w:u w:val="single"/>
    </w:rPr>
  </w:style>
  <w:style w:type="character" w:styleId="Komentraatsauce">
    <w:name w:val="annotation reference"/>
    <w:basedOn w:val="Noklusjumarindkopasfonts"/>
    <w:uiPriority w:val="99"/>
    <w:semiHidden/>
    <w:unhideWhenUsed/>
    <w:rsid w:val="00AF55F0"/>
    <w:rPr>
      <w:sz w:val="16"/>
      <w:szCs w:val="16"/>
    </w:rPr>
  </w:style>
  <w:style w:type="paragraph" w:styleId="Komentrateksts">
    <w:name w:val="annotation text"/>
    <w:basedOn w:val="Parasts"/>
    <w:link w:val="KomentratekstsRakstz"/>
    <w:uiPriority w:val="99"/>
    <w:semiHidden/>
    <w:unhideWhenUsed/>
    <w:rsid w:val="00AF55F0"/>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F55F0"/>
    <w:rPr>
      <w:rFonts w:ascii="Times New Roman" w:hAnsi="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files/uploads/files/9_Tieslietu_padome/Dokumenti/Zinojums%20TP_21082018-2.docx" TargetMode="External"/><Relationship Id="rId3" Type="http://schemas.openxmlformats.org/officeDocument/2006/relationships/settings" Target="settings.xml"/><Relationship Id="rId7" Type="http://schemas.openxmlformats.org/officeDocument/2006/relationships/hyperlink" Target="https://www.at.gov.lv/files/uploads/files/9_Tieslietu_padome/Dokumenti/Zinojums%20TP_21082018-2.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7215</Words>
  <Characters>4113</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TĒK</dc:creator>
  <cp:lastModifiedBy>Liene Jākobsone</cp:lastModifiedBy>
  <cp:revision>8</cp:revision>
  <cp:lastPrinted>2023-03-08T12:44:00Z</cp:lastPrinted>
  <dcterms:created xsi:type="dcterms:W3CDTF">2023-03-08T12:43:00Z</dcterms:created>
  <dcterms:modified xsi:type="dcterms:W3CDTF">2023-03-09T12:08:00Z</dcterms:modified>
</cp:coreProperties>
</file>