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1B1" w:rsidRDefault="00F321B1" w:rsidP="00F321B1"/>
    <w:p w:rsidR="00F321B1" w:rsidRPr="00B84309" w:rsidRDefault="00F321B1" w:rsidP="00F321B1">
      <w:pPr>
        <w:jc w:val="right"/>
        <w:rPr>
          <w:sz w:val="26"/>
          <w:szCs w:val="26"/>
        </w:rPr>
      </w:pPr>
      <w:r w:rsidRPr="00B84309">
        <w:rPr>
          <w:bCs/>
          <w:kern w:val="36"/>
          <w:sz w:val="26"/>
          <w:szCs w:val="26"/>
        </w:rPr>
        <w:t>APSTIPRINĀTS</w:t>
      </w:r>
    </w:p>
    <w:p w:rsidR="00F321B1" w:rsidRPr="00B84309" w:rsidRDefault="00F321B1" w:rsidP="00F321B1">
      <w:pPr>
        <w:jc w:val="right"/>
        <w:rPr>
          <w:sz w:val="26"/>
          <w:szCs w:val="26"/>
        </w:rPr>
      </w:pPr>
      <w:r w:rsidRPr="00B84309">
        <w:rPr>
          <w:sz w:val="26"/>
          <w:szCs w:val="26"/>
        </w:rPr>
        <w:t>Ar Tieslietu padomes</w:t>
      </w:r>
    </w:p>
    <w:p w:rsidR="00F321B1" w:rsidRPr="00B84309" w:rsidRDefault="00F321B1" w:rsidP="00F321B1">
      <w:pPr>
        <w:jc w:val="right"/>
        <w:rPr>
          <w:sz w:val="26"/>
          <w:szCs w:val="26"/>
        </w:rPr>
      </w:pPr>
      <w:r w:rsidRPr="00B84309">
        <w:rPr>
          <w:sz w:val="26"/>
          <w:szCs w:val="26"/>
        </w:rPr>
        <w:t xml:space="preserve"> 2020. gada</w:t>
      </w:r>
      <w:r>
        <w:rPr>
          <w:sz w:val="26"/>
          <w:szCs w:val="26"/>
        </w:rPr>
        <w:t xml:space="preserve"> 30</w:t>
      </w:r>
      <w:r w:rsidRPr="00B84309">
        <w:rPr>
          <w:sz w:val="26"/>
          <w:szCs w:val="26"/>
        </w:rPr>
        <w:t>. marta lēmumu Nr.</w:t>
      </w:r>
      <w:r>
        <w:rPr>
          <w:sz w:val="26"/>
          <w:szCs w:val="26"/>
        </w:rPr>
        <w:t> 16</w:t>
      </w:r>
    </w:p>
    <w:p w:rsidR="00F321B1" w:rsidRPr="00B84309" w:rsidRDefault="00F321B1" w:rsidP="00F321B1">
      <w:pPr>
        <w:jc w:val="right"/>
        <w:rPr>
          <w:sz w:val="26"/>
          <w:szCs w:val="26"/>
        </w:rPr>
      </w:pPr>
      <w:r w:rsidRPr="00B84309">
        <w:rPr>
          <w:sz w:val="26"/>
          <w:szCs w:val="26"/>
        </w:rPr>
        <w:t>saskaņā ar Prokuratūras likuma</w:t>
      </w:r>
    </w:p>
    <w:p w:rsidR="00F321B1" w:rsidRDefault="00F321B1" w:rsidP="00F321B1">
      <w:pPr>
        <w:jc w:val="right"/>
        <w:rPr>
          <w:rFonts w:eastAsia="Calibri"/>
          <w:sz w:val="26"/>
          <w:szCs w:val="26"/>
        </w:rPr>
      </w:pPr>
      <w:r w:rsidRPr="00B84309">
        <w:rPr>
          <w:rFonts w:eastAsia="Calibri"/>
          <w:sz w:val="26"/>
          <w:szCs w:val="26"/>
        </w:rPr>
        <w:t>38. panta otro un ceturto daļu</w:t>
      </w:r>
    </w:p>
    <w:p w:rsidR="00F321B1" w:rsidRDefault="00F321B1" w:rsidP="00F321B1"/>
    <w:p w:rsidR="00495B77" w:rsidRDefault="00495B77" w:rsidP="00495B77"/>
    <w:p w:rsidR="00495B77" w:rsidRPr="00E67FA9" w:rsidRDefault="00495B77" w:rsidP="00495B77">
      <w:pPr>
        <w:jc w:val="center"/>
        <w:rPr>
          <w:b/>
          <w:sz w:val="28"/>
          <w:szCs w:val="28"/>
        </w:rPr>
      </w:pPr>
      <w:bookmarkStart w:id="0" w:name="_Hlk36552018"/>
      <w:r>
        <w:rPr>
          <w:b/>
          <w:sz w:val="28"/>
          <w:szCs w:val="28"/>
        </w:rPr>
        <w:t xml:space="preserve">          </w:t>
      </w:r>
      <w:bookmarkStart w:id="1" w:name="_GoBack"/>
      <w:bookmarkEnd w:id="1"/>
      <w:r w:rsidRPr="00E67FA9">
        <w:rPr>
          <w:b/>
          <w:sz w:val="28"/>
          <w:szCs w:val="28"/>
        </w:rPr>
        <w:t>Ģenerālprokurora amata kandidātu konkursa, vērtēšanas kritēriju un kārtības nolikums</w:t>
      </w:r>
    </w:p>
    <w:bookmarkEnd w:id="0"/>
    <w:p w:rsidR="00495B77" w:rsidRPr="00E67FA9" w:rsidRDefault="00495B77" w:rsidP="00495B77"/>
    <w:p w:rsidR="00495B77" w:rsidRDefault="00495B77" w:rsidP="00495B77">
      <w:pPr>
        <w:pStyle w:val="ListParagraph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E67FA9">
        <w:rPr>
          <w:b/>
          <w:sz w:val="28"/>
          <w:szCs w:val="28"/>
        </w:rPr>
        <w:t>Vispārīgie jautājumi</w:t>
      </w:r>
    </w:p>
    <w:p w:rsidR="00495B77" w:rsidRDefault="00495B77" w:rsidP="00495B77">
      <w:pPr>
        <w:pStyle w:val="ListParagraph"/>
        <w:ind w:left="1080"/>
        <w:rPr>
          <w:b/>
          <w:sz w:val="28"/>
          <w:szCs w:val="28"/>
        </w:rPr>
      </w:pPr>
    </w:p>
    <w:p w:rsidR="00495B77" w:rsidRPr="00E67FA9" w:rsidRDefault="00495B77" w:rsidP="00495B77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 w:rsidRPr="00E67FA9">
        <w:rPr>
          <w:sz w:val="26"/>
          <w:szCs w:val="26"/>
        </w:rPr>
        <w:t xml:space="preserve">Nolikums nosaka ģenerālprokurora amata kandidātu </w:t>
      </w:r>
      <w:r w:rsidRPr="005A4D16">
        <w:rPr>
          <w:sz w:val="26"/>
          <w:szCs w:val="26"/>
        </w:rPr>
        <w:t xml:space="preserve">konkursa </w:t>
      </w:r>
      <w:r>
        <w:rPr>
          <w:sz w:val="26"/>
          <w:szCs w:val="26"/>
        </w:rPr>
        <w:t>kārtību</w:t>
      </w:r>
      <w:r w:rsidRPr="005A4D16">
        <w:rPr>
          <w:sz w:val="26"/>
          <w:szCs w:val="26"/>
        </w:rPr>
        <w:t>,</w:t>
      </w:r>
      <w:r w:rsidRPr="00E67FA9">
        <w:rPr>
          <w:sz w:val="26"/>
          <w:szCs w:val="26"/>
        </w:rPr>
        <w:t xml:space="preserve"> kā arī vērtēšanas kritērijus.</w:t>
      </w:r>
    </w:p>
    <w:p w:rsidR="00495B77" w:rsidRPr="00E67FA9" w:rsidRDefault="00495B77" w:rsidP="00495B77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 w:rsidRPr="00E67FA9">
        <w:rPr>
          <w:sz w:val="26"/>
          <w:szCs w:val="26"/>
        </w:rPr>
        <w:t>Ģenerālprokurora amata kandidātu konkursa organizēšanu</w:t>
      </w:r>
      <w:r>
        <w:rPr>
          <w:sz w:val="26"/>
          <w:szCs w:val="26"/>
        </w:rPr>
        <w:t xml:space="preserve"> un </w:t>
      </w:r>
      <w:r w:rsidRPr="00E67FA9">
        <w:rPr>
          <w:sz w:val="26"/>
          <w:szCs w:val="26"/>
        </w:rPr>
        <w:t>atlasi nodrošina Tieslietu padomes sekretariāts (turpmāk – sekretariāts).</w:t>
      </w:r>
    </w:p>
    <w:p w:rsidR="00495B77" w:rsidRPr="00E67FA9" w:rsidRDefault="00495B77" w:rsidP="00495B77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 w:rsidRPr="00E67FA9">
        <w:rPr>
          <w:sz w:val="26"/>
          <w:szCs w:val="26"/>
        </w:rPr>
        <w:t xml:space="preserve">Informācijas statuss par pretendentiem tiek noteikts </w:t>
      </w:r>
      <w:r>
        <w:rPr>
          <w:sz w:val="26"/>
          <w:szCs w:val="26"/>
        </w:rPr>
        <w:t xml:space="preserve">saskaņā ar </w:t>
      </w:r>
      <w:r w:rsidRPr="00E67FA9">
        <w:rPr>
          <w:sz w:val="26"/>
          <w:szCs w:val="26"/>
        </w:rPr>
        <w:t>Informācijas atklātības likum</w:t>
      </w:r>
      <w:r>
        <w:rPr>
          <w:sz w:val="26"/>
          <w:szCs w:val="26"/>
        </w:rPr>
        <w:t>u</w:t>
      </w:r>
      <w:r w:rsidRPr="00E67FA9">
        <w:rPr>
          <w:sz w:val="26"/>
          <w:szCs w:val="26"/>
        </w:rPr>
        <w:t xml:space="preserve">. Tiesības iepazīties ar informāciju </w:t>
      </w:r>
      <w:r>
        <w:rPr>
          <w:sz w:val="26"/>
          <w:szCs w:val="26"/>
        </w:rPr>
        <w:t>p</w:t>
      </w:r>
      <w:r w:rsidRPr="00E67FA9">
        <w:rPr>
          <w:sz w:val="26"/>
          <w:szCs w:val="26"/>
        </w:rPr>
        <w:t xml:space="preserve">ar </w:t>
      </w:r>
      <w:r>
        <w:rPr>
          <w:sz w:val="26"/>
          <w:szCs w:val="26"/>
        </w:rPr>
        <w:t>pretendentu</w:t>
      </w:r>
      <w:r w:rsidRPr="00E67FA9">
        <w:rPr>
          <w:sz w:val="26"/>
          <w:szCs w:val="26"/>
        </w:rPr>
        <w:t xml:space="preserve"> novērtēšanas procesu pēc lēmuma pieņemšanas par kandidāta iecelšanu amatā piešķir Tieslietu padomes priekšsēdētājs ar rakstisku atļauju, ievērojot Informācijas atklātības likumā noteikto kārtību.</w:t>
      </w:r>
    </w:p>
    <w:p w:rsidR="00495B77" w:rsidRPr="00E67FA9" w:rsidRDefault="00495B77" w:rsidP="00495B77">
      <w:pPr>
        <w:rPr>
          <w:b/>
          <w:sz w:val="28"/>
          <w:szCs w:val="28"/>
        </w:rPr>
      </w:pPr>
    </w:p>
    <w:p w:rsidR="00495B77" w:rsidRDefault="00495B77" w:rsidP="00495B77">
      <w:pPr>
        <w:pStyle w:val="ListParagraph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E67FA9">
        <w:rPr>
          <w:b/>
          <w:sz w:val="28"/>
          <w:szCs w:val="28"/>
        </w:rPr>
        <w:t>Pieteikumu iesniegšana</w:t>
      </w:r>
    </w:p>
    <w:p w:rsidR="00495B77" w:rsidRDefault="00495B77" w:rsidP="00495B77">
      <w:pPr>
        <w:pStyle w:val="ListParagraph"/>
        <w:rPr>
          <w:b/>
          <w:sz w:val="28"/>
          <w:szCs w:val="28"/>
        </w:rPr>
      </w:pPr>
    </w:p>
    <w:p w:rsidR="00495B77" w:rsidRDefault="00495B77" w:rsidP="00495B77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Konkursu uz vakantu</w:t>
      </w:r>
      <w:r w:rsidRPr="00E67FA9">
        <w:rPr>
          <w:sz w:val="26"/>
          <w:szCs w:val="26"/>
        </w:rPr>
        <w:t xml:space="preserve"> ģenerālprokurora amatu izsludina oficiālajā izdevumā „Latvijas Vēstnesis” un Augstākās tiesas mājaslapā (tīmekļa vietnē www.at.gov.lv, sadaļā </w:t>
      </w:r>
      <w:r>
        <w:rPr>
          <w:sz w:val="26"/>
          <w:szCs w:val="26"/>
        </w:rPr>
        <w:t>„</w:t>
      </w:r>
      <w:r w:rsidRPr="00E67FA9">
        <w:rPr>
          <w:sz w:val="26"/>
          <w:szCs w:val="26"/>
        </w:rPr>
        <w:t>Tieslietu padome</w:t>
      </w:r>
      <w:r>
        <w:rPr>
          <w:sz w:val="26"/>
          <w:szCs w:val="26"/>
        </w:rPr>
        <w:t>”</w:t>
      </w:r>
      <w:r w:rsidRPr="00E67FA9">
        <w:rPr>
          <w:sz w:val="26"/>
          <w:szCs w:val="26"/>
        </w:rPr>
        <w:t>), norādot ģenerālprokurora amata kandidātam izvirzītās prasības, iesniedzamos dokumentus, pieteikšanās termiņu un vietu</w:t>
      </w:r>
      <w:r>
        <w:rPr>
          <w:sz w:val="26"/>
          <w:szCs w:val="26"/>
        </w:rPr>
        <w:t>. P</w:t>
      </w:r>
      <w:r w:rsidRPr="00E67FA9">
        <w:rPr>
          <w:sz w:val="26"/>
          <w:szCs w:val="26"/>
        </w:rPr>
        <w:t>ieteikumu iesniegšana</w:t>
      </w:r>
      <w:r>
        <w:rPr>
          <w:sz w:val="26"/>
          <w:szCs w:val="26"/>
        </w:rPr>
        <w:t>s termiņš – 15 darbdienas.</w:t>
      </w:r>
    </w:p>
    <w:p w:rsidR="00495B77" w:rsidRDefault="00495B77" w:rsidP="00495B77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 w:rsidRPr="00E67FA9">
        <w:rPr>
          <w:sz w:val="26"/>
          <w:szCs w:val="26"/>
        </w:rPr>
        <w:t xml:space="preserve">Konkursu izsludina ne vēlāk kā 6 mēnešus pirms ģenerālprokurora pilnvaru termiņa beigām vai ja attiecīgā amata vieta kļuvusi vakanta pirms ģenerālprokurora pilnvaru termiņa beigām, – 5 darbdienu laikā </w:t>
      </w:r>
      <w:r>
        <w:rPr>
          <w:sz w:val="26"/>
          <w:szCs w:val="26"/>
        </w:rPr>
        <w:t>no</w:t>
      </w:r>
      <w:r w:rsidRPr="00E67FA9">
        <w:rPr>
          <w:sz w:val="26"/>
          <w:szCs w:val="26"/>
        </w:rPr>
        <w:t xml:space="preserve"> dienas, kad attiecīgā amata vieta kļuvusi vakanta.</w:t>
      </w:r>
    </w:p>
    <w:p w:rsidR="00495B77" w:rsidRPr="00E67FA9" w:rsidRDefault="00495B77" w:rsidP="00495B77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 w:rsidRPr="00E67FA9">
        <w:rPr>
          <w:sz w:val="26"/>
          <w:szCs w:val="26"/>
        </w:rPr>
        <w:t>Pretendent</w:t>
      </w:r>
      <w:r>
        <w:rPr>
          <w:sz w:val="26"/>
          <w:szCs w:val="26"/>
        </w:rPr>
        <w:t>am</w:t>
      </w:r>
      <w:r w:rsidRPr="00E67FA9">
        <w:rPr>
          <w:sz w:val="26"/>
          <w:szCs w:val="26"/>
        </w:rPr>
        <w:t xml:space="preserve"> jāiesniedz šādi dokumenti:</w:t>
      </w:r>
    </w:p>
    <w:p w:rsidR="00495B77" w:rsidRDefault="00495B77" w:rsidP="00495B77">
      <w:pPr>
        <w:pStyle w:val="ListParagraph"/>
        <w:numPr>
          <w:ilvl w:val="1"/>
          <w:numId w:val="3"/>
        </w:numPr>
        <w:jc w:val="both"/>
        <w:rPr>
          <w:sz w:val="26"/>
          <w:szCs w:val="26"/>
        </w:rPr>
      </w:pPr>
      <w:r w:rsidRPr="00E67FA9">
        <w:rPr>
          <w:sz w:val="26"/>
          <w:szCs w:val="26"/>
        </w:rPr>
        <w:t>motivēta pieteikuma vēstule, apliecinot atbilstību Prokuratūras likumā ietvertajām prasībām;</w:t>
      </w:r>
    </w:p>
    <w:p w:rsidR="00495B77" w:rsidRPr="00AD18A8" w:rsidRDefault="00495B77" w:rsidP="00495B77">
      <w:pPr>
        <w:pStyle w:val="ListParagraph"/>
        <w:numPr>
          <w:ilvl w:val="1"/>
          <w:numId w:val="3"/>
        </w:numPr>
        <w:jc w:val="both"/>
        <w:rPr>
          <w:sz w:val="26"/>
          <w:szCs w:val="26"/>
        </w:rPr>
      </w:pPr>
      <w:r w:rsidRPr="00E67FA9">
        <w:rPr>
          <w:sz w:val="26"/>
          <w:szCs w:val="26"/>
        </w:rPr>
        <w:t xml:space="preserve">prokuratūras darbības attīstības koncepcija (turpmāk – </w:t>
      </w:r>
      <w:r>
        <w:rPr>
          <w:sz w:val="26"/>
          <w:szCs w:val="26"/>
        </w:rPr>
        <w:t xml:space="preserve">attīstības </w:t>
      </w:r>
      <w:r w:rsidRPr="00E67FA9">
        <w:rPr>
          <w:sz w:val="26"/>
          <w:szCs w:val="26"/>
        </w:rPr>
        <w:t>koncepcija</w:t>
      </w:r>
      <w:r w:rsidRPr="00AD18A8">
        <w:rPr>
          <w:sz w:val="26"/>
          <w:szCs w:val="26"/>
        </w:rPr>
        <w:t xml:space="preserve">), kurā pretendents </w:t>
      </w:r>
      <w:r>
        <w:rPr>
          <w:sz w:val="26"/>
          <w:szCs w:val="26"/>
        </w:rPr>
        <w:t>izklāsta</w:t>
      </w:r>
      <w:r w:rsidRPr="00AD18A8">
        <w:rPr>
          <w:sz w:val="26"/>
          <w:szCs w:val="26"/>
        </w:rPr>
        <w:t xml:space="preserve"> savu </w:t>
      </w:r>
      <w:r>
        <w:rPr>
          <w:sz w:val="26"/>
          <w:szCs w:val="26"/>
        </w:rPr>
        <w:t>viedokli</w:t>
      </w:r>
      <w:r w:rsidRPr="00AD18A8">
        <w:rPr>
          <w:sz w:val="26"/>
          <w:szCs w:val="26"/>
        </w:rPr>
        <w:t xml:space="preserve"> par prokuratūras </w:t>
      </w:r>
      <w:r>
        <w:rPr>
          <w:sz w:val="26"/>
          <w:szCs w:val="26"/>
        </w:rPr>
        <w:t xml:space="preserve">turpmāko </w:t>
      </w:r>
      <w:r w:rsidRPr="00AD18A8">
        <w:rPr>
          <w:sz w:val="26"/>
          <w:szCs w:val="26"/>
        </w:rPr>
        <w:t>darbību un attīstību, stratēģisk</w:t>
      </w:r>
      <w:r>
        <w:rPr>
          <w:sz w:val="26"/>
          <w:szCs w:val="26"/>
        </w:rPr>
        <w:t xml:space="preserve">iem </w:t>
      </w:r>
      <w:r w:rsidRPr="00AD18A8">
        <w:rPr>
          <w:sz w:val="26"/>
          <w:szCs w:val="26"/>
        </w:rPr>
        <w:t>mērķ</w:t>
      </w:r>
      <w:r>
        <w:rPr>
          <w:sz w:val="26"/>
          <w:szCs w:val="26"/>
        </w:rPr>
        <w:t xml:space="preserve">iem, </w:t>
      </w:r>
      <w:r w:rsidRPr="00AD18A8">
        <w:rPr>
          <w:sz w:val="26"/>
          <w:szCs w:val="26"/>
        </w:rPr>
        <w:t xml:space="preserve">Latvijas Republikas </w:t>
      </w:r>
      <w:r>
        <w:rPr>
          <w:sz w:val="26"/>
          <w:szCs w:val="26"/>
        </w:rPr>
        <w:t>P</w:t>
      </w:r>
      <w:r w:rsidRPr="00AD18A8">
        <w:rPr>
          <w:sz w:val="26"/>
          <w:szCs w:val="26"/>
        </w:rPr>
        <w:t>rokuratūras</w:t>
      </w:r>
      <w:r>
        <w:rPr>
          <w:sz w:val="26"/>
          <w:szCs w:val="26"/>
        </w:rPr>
        <w:t xml:space="preserve"> starptautisko </w:t>
      </w:r>
      <w:r w:rsidRPr="00AD18A8">
        <w:rPr>
          <w:sz w:val="26"/>
          <w:szCs w:val="26"/>
        </w:rPr>
        <w:t>integrācij</w:t>
      </w:r>
      <w:r>
        <w:rPr>
          <w:sz w:val="26"/>
          <w:szCs w:val="26"/>
        </w:rPr>
        <w:t>u un sadarbību.</w:t>
      </w:r>
      <w:r w:rsidRPr="00AD18A8">
        <w:rPr>
          <w:sz w:val="26"/>
          <w:szCs w:val="26"/>
        </w:rPr>
        <w:t xml:space="preserve"> Ja pretendents piesakās </w:t>
      </w:r>
      <w:r>
        <w:rPr>
          <w:sz w:val="26"/>
          <w:szCs w:val="26"/>
        </w:rPr>
        <w:t>uz atkārtotu termiņu šajā amatā</w:t>
      </w:r>
      <w:r w:rsidRPr="00AD18A8">
        <w:rPr>
          <w:sz w:val="26"/>
          <w:szCs w:val="26"/>
        </w:rPr>
        <w:t>, koncepcij</w:t>
      </w:r>
      <w:r>
        <w:rPr>
          <w:sz w:val="26"/>
          <w:szCs w:val="26"/>
        </w:rPr>
        <w:t>ā iekļaujams</w:t>
      </w:r>
      <w:r w:rsidRPr="00AD18A8">
        <w:rPr>
          <w:sz w:val="26"/>
          <w:szCs w:val="26"/>
        </w:rPr>
        <w:t xml:space="preserve"> iepriekšējā pilnvaru termiņā paveikt</w:t>
      </w:r>
      <w:r>
        <w:rPr>
          <w:sz w:val="26"/>
          <w:szCs w:val="26"/>
        </w:rPr>
        <w:t>ā izvērtējums</w:t>
      </w:r>
      <w:r w:rsidRPr="00AD18A8">
        <w:rPr>
          <w:sz w:val="26"/>
          <w:szCs w:val="26"/>
        </w:rPr>
        <w:t>;</w:t>
      </w:r>
    </w:p>
    <w:p w:rsidR="00495B77" w:rsidRDefault="00495B77" w:rsidP="00495B77">
      <w:pPr>
        <w:pStyle w:val="ListParagraph"/>
        <w:numPr>
          <w:ilvl w:val="1"/>
          <w:numId w:val="3"/>
        </w:numPr>
        <w:jc w:val="both"/>
        <w:rPr>
          <w:sz w:val="26"/>
          <w:szCs w:val="26"/>
        </w:rPr>
      </w:pPr>
      <w:r w:rsidRPr="00E67FA9">
        <w:rPr>
          <w:sz w:val="26"/>
          <w:szCs w:val="26"/>
        </w:rPr>
        <w:t>dzīves gājuma apraksts (Europass CV standarta forma</w:t>
      </w:r>
      <w:r>
        <w:rPr>
          <w:sz w:val="26"/>
          <w:szCs w:val="26"/>
        </w:rPr>
        <w:t>)</w:t>
      </w:r>
      <w:r w:rsidRPr="00E67FA9">
        <w:rPr>
          <w:sz w:val="26"/>
          <w:szCs w:val="26"/>
        </w:rPr>
        <w:t>;</w:t>
      </w:r>
    </w:p>
    <w:p w:rsidR="00495B77" w:rsidRDefault="00495B77" w:rsidP="00495B77">
      <w:pPr>
        <w:pStyle w:val="ListParagraph"/>
        <w:numPr>
          <w:ilvl w:val="1"/>
          <w:numId w:val="3"/>
        </w:numPr>
        <w:jc w:val="both"/>
        <w:rPr>
          <w:sz w:val="26"/>
          <w:szCs w:val="26"/>
        </w:rPr>
      </w:pPr>
      <w:r w:rsidRPr="00E67FA9">
        <w:rPr>
          <w:sz w:val="26"/>
          <w:szCs w:val="26"/>
        </w:rPr>
        <w:t xml:space="preserve">izglītību un darba </w:t>
      </w:r>
      <w:r>
        <w:rPr>
          <w:sz w:val="26"/>
          <w:szCs w:val="26"/>
        </w:rPr>
        <w:t>pieredzi</w:t>
      </w:r>
      <w:r w:rsidRPr="00E67FA9">
        <w:rPr>
          <w:sz w:val="26"/>
          <w:szCs w:val="26"/>
        </w:rPr>
        <w:t xml:space="preserve"> juridiskajā specialitātē apliecinoš</w:t>
      </w:r>
      <w:r>
        <w:rPr>
          <w:sz w:val="26"/>
          <w:szCs w:val="26"/>
        </w:rPr>
        <w:t>i</w:t>
      </w:r>
      <w:r w:rsidRPr="00E67FA9">
        <w:rPr>
          <w:sz w:val="26"/>
          <w:szCs w:val="26"/>
        </w:rPr>
        <w:t xml:space="preserve"> dokument</w:t>
      </w:r>
      <w:r>
        <w:rPr>
          <w:sz w:val="26"/>
          <w:szCs w:val="26"/>
        </w:rPr>
        <w:t>i</w:t>
      </w:r>
      <w:r w:rsidRPr="00E67FA9">
        <w:rPr>
          <w:sz w:val="26"/>
          <w:szCs w:val="26"/>
        </w:rPr>
        <w:t>;</w:t>
      </w:r>
    </w:p>
    <w:p w:rsidR="00495B77" w:rsidRDefault="00495B77" w:rsidP="00495B77">
      <w:pPr>
        <w:pStyle w:val="ListParagraph"/>
        <w:numPr>
          <w:ilvl w:val="1"/>
          <w:numId w:val="3"/>
        </w:numPr>
        <w:jc w:val="both"/>
        <w:rPr>
          <w:sz w:val="26"/>
          <w:szCs w:val="26"/>
        </w:rPr>
      </w:pPr>
      <w:r w:rsidRPr="00E67FA9">
        <w:rPr>
          <w:sz w:val="26"/>
          <w:szCs w:val="26"/>
        </w:rPr>
        <w:t xml:space="preserve">pretendenta pašrocīgi aizpildīta aptaujas lapa saskaņā ar Ministru kabineta 2004. gada 6. janvāra noteikumu Nr. 21 „Valsts noslēpuma, Ziemeļatlantijas līguma organizācijas, Eiropas Savienības un ārvalstu institūciju klasificētās </w:t>
      </w:r>
      <w:r w:rsidRPr="00E67FA9">
        <w:rPr>
          <w:sz w:val="26"/>
          <w:szCs w:val="26"/>
        </w:rPr>
        <w:lastRenderedPageBreak/>
        <w:t>informācijas aizsardzības noteikumi” </w:t>
      </w:r>
      <w:r w:rsidRPr="00FB5E0C">
        <w:rPr>
          <w:sz w:val="26"/>
          <w:szCs w:val="26"/>
        </w:rPr>
        <w:t>2.</w:t>
      </w:r>
      <w:r w:rsidRPr="00E67FA9">
        <w:rPr>
          <w:sz w:val="26"/>
          <w:szCs w:val="26"/>
        </w:rPr>
        <w:t xml:space="preserve"> pielikumu. </w:t>
      </w:r>
      <w:r>
        <w:rPr>
          <w:sz w:val="26"/>
          <w:szCs w:val="26"/>
        </w:rPr>
        <w:t>A</w:t>
      </w:r>
      <w:r w:rsidRPr="00E67FA9">
        <w:rPr>
          <w:sz w:val="26"/>
          <w:szCs w:val="26"/>
        </w:rPr>
        <w:t>ptaujas lapu ievieto slēgtā aploksnē un iesniedz personīgi, uz aploksnes norādot „Aptaujas lapa”</w:t>
      </w:r>
      <w:r>
        <w:rPr>
          <w:sz w:val="26"/>
          <w:szCs w:val="26"/>
        </w:rPr>
        <w:t>.</w:t>
      </w:r>
    </w:p>
    <w:p w:rsidR="00495B77" w:rsidRPr="005A4D16" w:rsidRDefault="00495B77" w:rsidP="00495B77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Pieteikums un dokumenti nosūtāmi vai iesniedzami </w:t>
      </w:r>
      <w:r w:rsidRPr="005A4D16">
        <w:rPr>
          <w:sz w:val="26"/>
          <w:szCs w:val="26"/>
        </w:rPr>
        <w:t>personīgi Tieslietu padomes sekretariāt</w:t>
      </w:r>
      <w:r>
        <w:rPr>
          <w:sz w:val="26"/>
          <w:szCs w:val="26"/>
        </w:rPr>
        <w:t>am.</w:t>
      </w:r>
      <w:r w:rsidRPr="005A4D16">
        <w:rPr>
          <w:sz w:val="26"/>
          <w:szCs w:val="26"/>
        </w:rPr>
        <w:t xml:space="preserve"> </w:t>
      </w:r>
    </w:p>
    <w:p w:rsidR="00495B77" w:rsidRPr="00A211CF" w:rsidRDefault="00495B77" w:rsidP="00495B77">
      <w:pPr>
        <w:pStyle w:val="ListParagraph"/>
        <w:jc w:val="both"/>
        <w:rPr>
          <w:sz w:val="26"/>
          <w:szCs w:val="26"/>
        </w:rPr>
      </w:pPr>
    </w:p>
    <w:p w:rsidR="00495B77" w:rsidRDefault="00495B77" w:rsidP="00495B77">
      <w:pPr>
        <w:pStyle w:val="ListParagraph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5A4D16">
        <w:rPr>
          <w:b/>
          <w:sz w:val="28"/>
          <w:szCs w:val="28"/>
        </w:rPr>
        <w:t xml:space="preserve">Vērtēšanas </w:t>
      </w:r>
      <w:r w:rsidRPr="00E67FA9">
        <w:rPr>
          <w:b/>
          <w:sz w:val="28"/>
          <w:szCs w:val="28"/>
        </w:rPr>
        <w:t>kritēriji</w:t>
      </w:r>
    </w:p>
    <w:p w:rsidR="00495B77" w:rsidRDefault="00495B77" w:rsidP="00495B77">
      <w:pPr>
        <w:pStyle w:val="ListParagraph"/>
        <w:ind w:left="1080"/>
        <w:rPr>
          <w:b/>
          <w:sz w:val="28"/>
          <w:szCs w:val="28"/>
        </w:rPr>
      </w:pPr>
    </w:p>
    <w:p w:rsidR="00495B77" w:rsidRDefault="00495B77" w:rsidP="00495B77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Pēc pieteikuma saņemšanas s</w:t>
      </w:r>
      <w:r w:rsidRPr="00E67FA9">
        <w:rPr>
          <w:sz w:val="26"/>
          <w:szCs w:val="26"/>
        </w:rPr>
        <w:t xml:space="preserve">ekretariāts pārbauda </w:t>
      </w:r>
      <w:r>
        <w:rPr>
          <w:sz w:val="26"/>
          <w:szCs w:val="26"/>
        </w:rPr>
        <w:t xml:space="preserve">katra </w:t>
      </w:r>
      <w:r w:rsidRPr="00E67FA9">
        <w:rPr>
          <w:sz w:val="26"/>
          <w:szCs w:val="26"/>
        </w:rPr>
        <w:t>pretendent</w:t>
      </w:r>
      <w:r>
        <w:rPr>
          <w:sz w:val="26"/>
          <w:szCs w:val="26"/>
        </w:rPr>
        <w:t>a</w:t>
      </w:r>
      <w:r w:rsidRPr="00E67FA9">
        <w:rPr>
          <w:sz w:val="26"/>
          <w:szCs w:val="26"/>
        </w:rPr>
        <w:t xml:space="preserve"> atbilstību Prokuratūras likuma 36. pant</w:t>
      </w:r>
      <w:r>
        <w:rPr>
          <w:sz w:val="26"/>
          <w:szCs w:val="26"/>
        </w:rPr>
        <w:t xml:space="preserve">ā izvirzītajām </w:t>
      </w:r>
      <w:r w:rsidRPr="00E67FA9">
        <w:rPr>
          <w:sz w:val="26"/>
          <w:szCs w:val="26"/>
        </w:rPr>
        <w:t xml:space="preserve">prasībām. </w:t>
      </w:r>
    </w:p>
    <w:p w:rsidR="00495B77" w:rsidRDefault="00495B77" w:rsidP="00495B77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 w:rsidRPr="00E67FA9">
        <w:rPr>
          <w:sz w:val="26"/>
          <w:szCs w:val="26"/>
        </w:rPr>
        <w:t xml:space="preserve">Par </w:t>
      </w:r>
      <w:r>
        <w:rPr>
          <w:sz w:val="26"/>
          <w:szCs w:val="26"/>
        </w:rPr>
        <w:t>katru pretendentu, kurš atbilst Prokuratūras likuma</w:t>
      </w:r>
      <w:r w:rsidRPr="00E67FA9">
        <w:rPr>
          <w:sz w:val="26"/>
          <w:szCs w:val="26"/>
        </w:rPr>
        <w:t xml:space="preserve"> 36. pant</w:t>
      </w:r>
      <w:r>
        <w:rPr>
          <w:sz w:val="26"/>
          <w:szCs w:val="26"/>
        </w:rPr>
        <w:t>ā izvirzītajām</w:t>
      </w:r>
      <w:r w:rsidRPr="00E67FA9">
        <w:rPr>
          <w:sz w:val="26"/>
          <w:szCs w:val="26"/>
        </w:rPr>
        <w:t xml:space="preserve"> prasībām, Satversmes aizsardzības biroja</w:t>
      </w:r>
      <w:r>
        <w:rPr>
          <w:sz w:val="26"/>
          <w:szCs w:val="26"/>
        </w:rPr>
        <w:t>m</w:t>
      </w:r>
      <w:r w:rsidRPr="00E67FA9">
        <w:rPr>
          <w:sz w:val="26"/>
          <w:szCs w:val="26"/>
        </w:rPr>
        <w:t xml:space="preserve"> tiek pieprasīts atzinums par atbilstību likumā „Par valsts noslēpumu” noteiktajām prasībām speciālās atļaujas </w:t>
      </w:r>
      <w:r>
        <w:rPr>
          <w:sz w:val="26"/>
          <w:szCs w:val="26"/>
        </w:rPr>
        <w:t xml:space="preserve">saņemšanai </w:t>
      </w:r>
      <w:r w:rsidRPr="00E67FA9">
        <w:rPr>
          <w:sz w:val="26"/>
          <w:szCs w:val="26"/>
        </w:rPr>
        <w:t>pieejai valsts noslēpumam</w:t>
      </w:r>
      <w:r>
        <w:rPr>
          <w:sz w:val="26"/>
          <w:szCs w:val="26"/>
        </w:rPr>
        <w:t xml:space="preserve"> (turpmāk – atzinums)</w:t>
      </w:r>
      <w:r w:rsidRPr="00E67FA9">
        <w:rPr>
          <w:sz w:val="26"/>
          <w:szCs w:val="26"/>
        </w:rPr>
        <w:t>.</w:t>
      </w:r>
    </w:p>
    <w:p w:rsidR="00495B77" w:rsidRPr="005366CB" w:rsidRDefault="00495B77" w:rsidP="00495B77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 w:rsidRPr="005366CB">
        <w:rPr>
          <w:sz w:val="26"/>
          <w:szCs w:val="26"/>
        </w:rPr>
        <w:t>Pretendenti, kuri neatbilst Prokuratūras likuma 36. pant</w:t>
      </w:r>
      <w:r>
        <w:rPr>
          <w:sz w:val="26"/>
          <w:szCs w:val="26"/>
        </w:rPr>
        <w:t>ā izvirzītajām</w:t>
      </w:r>
      <w:r w:rsidRPr="005366CB">
        <w:rPr>
          <w:sz w:val="26"/>
          <w:szCs w:val="26"/>
        </w:rPr>
        <w:t xml:space="preserve"> prasībām vai kuri </w:t>
      </w:r>
      <w:r>
        <w:rPr>
          <w:sz w:val="26"/>
          <w:szCs w:val="26"/>
        </w:rPr>
        <w:t>nav saņēmuši pozitīvu atzinumu</w:t>
      </w:r>
      <w:r w:rsidRPr="005366CB">
        <w:rPr>
          <w:sz w:val="26"/>
          <w:szCs w:val="26"/>
        </w:rPr>
        <w:t xml:space="preserve">, </w:t>
      </w:r>
      <w:r>
        <w:rPr>
          <w:sz w:val="26"/>
          <w:szCs w:val="26"/>
        </w:rPr>
        <w:t>turpmāk konkursā nepiedalās</w:t>
      </w:r>
      <w:r w:rsidRPr="005366CB">
        <w:rPr>
          <w:sz w:val="26"/>
          <w:szCs w:val="26"/>
        </w:rPr>
        <w:t>.</w:t>
      </w:r>
    </w:p>
    <w:p w:rsidR="00495B77" w:rsidRPr="005366CB" w:rsidRDefault="00495B77" w:rsidP="00495B77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Pretendentu</w:t>
      </w:r>
      <w:r w:rsidRPr="005366CB">
        <w:rPr>
          <w:sz w:val="26"/>
          <w:szCs w:val="26"/>
        </w:rPr>
        <w:t>, kas saņēmuši pozitīvu atzinumu,</w:t>
      </w:r>
      <w:r>
        <w:rPr>
          <w:sz w:val="26"/>
          <w:szCs w:val="26"/>
        </w:rPr>
        <w:t xml:space="preserve"> iesniegtās attīstības koncepcijas tiek publicētas</w:t>
      </w:r>
      <w:bookmarkStart w:id="2" w:name="_Hlk36558754"/>
      <w:r w:rsidRPr="005366CB">
        <w:rPr>
          <w:sz w:val="26"/>
          <w:szCs w:val="26"/>
        </w:rPr>
        <w:t xml:space="preserve"> portālā „Latvijas Vēstnesis” un Augstākās tiesas mājaslapā (tīmekļa vietnē </w:t>
      </w:r>
      <w:hyperlink r:id="rId7" w:history="1">
        <w:r w:rsidRPr="005366CB">
          <w:rPr>
            <w:rStyle w:val="Hyperlink"/>
            <w:sz w:val="26"/>
            <w:szCs w:val="26"/>
          </w:rPr>
          <w:t>www.at.gov.lv</w:t>
        </w:r>
      </w:hyperlink>
      <w:r>
        <w:rPr>
          <w:sz w:val="26"/>
          <w:szCs w:val="26"/>
        </w:rPr>
        <w:t>,</w:t>
      </w:r>
      <w:r w:rsidRPr="005366CB">
        <w:rPr>
          <w:sz w:val="26"/>
          <w:szCs w:val="26"/>
        </w:rPr>
        <w:t xml:space="preserve"> sadaļā „Tieslietu padome”</w:t>
      </w:r>
      <w:r>
        <w:rPr>
          <w:sz w:val="26"/>
          <w:szCs w:val="26"/>
        </w:rPr>
        <w:t>), un viņi tiek aicināti uz Tieslietu padomes sēdi.</w:t>
      </w:r>
    </w:p>
    <w:bookmarkEnd w:id="2"/>
    <w:p w:rsidR="00495B77" w:rsidRPr="005366CB" w:rsidRDefault="00495B77" w:rsidP="00495B77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Pretendentu uzklausīšana notiek atklāti. </w:t>
      </w:r>
      <w:r w:rsidRPr="005366CB">
        <w:rPr>
          <w:sz w:val="26"/>
          <w:szCs w:val="26"/>
        </w:rPr>
        <w:t>Apspriede un balsojums notiek slēgt</w:t>
      </w:r>
      <w:r>
        <w:rPr>
          <w:sz w:val="26"/>
          <w:szCs w:val="26"/>
        </w:rPr>
        <w:t>i</w:t>
      </w:r>
      <w:r w:rsidRPr="005366CB">
        <w:rPr>
          <w:sz w:val="26"/>
          <w:szCs w:val="26"/>
        </w:rPr>
        <w:t>.</w:t>
      </w:r>
    </w:p>
    <w:p w:rsidR="00495B77" w:rsidRPr="00E67FA9" w:rsidRDefault="00495B77" w:rsidP="00495B77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V</w:t>
      </w:r>
      <w:r w:rsidRPr="00E67FA9">
        <w:rPr>
          <w:sz w:val="26"/>
          <w:szCs w:val="26"/>
        </w:rPr>
        <w:t xml:space="preserve">ērtējot </w:t>
      </w:r>
      <w:r>
        <w:rPr>
          <w:sz w:val="26"/>
          <w:szCs w:val="26"/>
        </w:rPr>
        <w:t>pretendenta</w:t>
      </w:r>
      <w:r w:rsidRPr="00E67FA9">
        <w:rPr>
          <w:sz w:val="26"/>
          <w:szCs w:val="26"/>
        </w:rPr>
        <w:t xml:space="preserve"> piemērotību amatam, Tieslietu padome ņem vērā:</w:t>
      </w:r>
    </w:p>
    <w:p w:rsidR="00495B77" w:rsidRDefault="00495B77" w:rsidP="00495B77">
      <w:pPr>
        <w:pStyle w:val="ListParagraph"/>
        <w:numPr>
          <w:ilvl w:val="1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darba pieredzi un izglītību</w:t>
      </w:r>
      <w:r w:rsidRPr="00E67FA9">
        <w:rPr>
          <w:sz w:val="26"/>
          <w:szCs w:val="26"/>
        </w:rPr>
        <w:t>;</w:t>
      </w:r>
    </w:p>
    <w:p w:rsidR="00495B77" w:rsidRDefault="00495B77" w:rsidP="00495B77">
      <w:pPr>
        <w:pStyle w:val="ListParagraph"/>
        <w:numPr>
          <w:ilvl w:val="1"/>
          <w:numId w:val="3"/>
        </w:numPr>
        <w:jc w:val="both"/>
        <w:rPr>
          <w:sz w:val="26"/>
          <w:szCs w:val="26"/>
        </w:rPr>
      </w:pPr>
      <w:r w:rsidRPr="00892C17">
        <w:rPr>
          <w:sz w:val="26"/>
          <w:szCs w:val="26"/>
        </w:rPr>
        <w:t>darba organizācijas un vadības prasmes</w:t>
      </w:r>
      <w:r>
        <w:rPr>
          <w:sz w:val="26"/>
          <w:szCs w:val="26"/>
        </w:rPr>
        <w:t>;</w:t>
      </w:r>
    </w:p>
    <w:p w:rsidR="00495B77" w:rsidRDefault="00495B77" w:rsidP="00495B77">
      <w:pPr>
        <w:pStyle w:val="ListParagraph"/>
        <w:numPr>
          <w:ilvl w:val="1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viedokli</w:t>
      </w:r>
      <w:r w:rsidRPr="00AD18A8">
        <w:rPr>
          <w:sz w:val="26"/>
          <w:szCs w:val="26"/>
        </w:rPr>
        <w:t xml:space="preserve"> par prokuratūras </w:t>
      </w:r>
      <w:r>
        <w:rPr>
          <w:sz w:val="26"/>
          <w:szCs w:val="26"/>
        </w:rPr>
        <w:t xml:space="preserve">turpmāko </w:t>
      </w:r>
      <w:r w:rsidRPr="00AD18A8">
        <w:rPr>
          <w:sz w:val="26"/>
          <w:szCs w:val="26"/>
        </w:rPr>
        <w:t>darbību un attīstību, stratēģisk</w:t>
      </w:r>
      <w:r>
        <w:rPr>
          <w:sz w:val="26"/>
          <w:szCs w:val="26"/>
        </w:rPr>
        <w:t xml:space="preserve">iem </w:t>
      </w:r>
      <w:r w:rsidRPr="00AD18A8">
        <w:rPr>
          <w:sz w:val="26"/>
          <w:szCs w:val="26"/>
        </w:rPr>
        <w:t>mērķ</w:t>
      </w:r>
      <w:r>
        <w:rPr>
          <w:sz w:val="26"/>
          <w:szCs w:val="26"/>
        </w:rPr>
        <w:t xml:space="preserve">iem, </w:t>
      </w:r>
      <w:r w:rsidRPr="00AD18A8">
        <w:rPr>
          <w:sz w:val="26"/>
          <w:szCs w:val="26"/>
        </w:rPr>
        <w:t xml:space="preserve">Latvijas Republikas </w:t>
      </w:r>
      <w:r>
        <w:rPr>
          <w:sz w:val="26"/>
          <w:szCs w:val="26"/>
        </w:rPr>
        <w:t>P</w:t>
      </w:r>
      <w:r w:rsidRPr="00AD18A8">
        <w:rPr>
          <w:sz w:val="26"/>
          <w:szCs w:val="26"/>
        </w:rPr>
        <w:t>rokuratūras</w:t>
      </w:r>
      <w:r>
        <w:rPr>
          <w:sz w:val="26"/>
          <w:szCs w:val="26"/>
        </w:rPr>
        <w:t xml:space="preserve"> starptautisko </w:t>
      </w:r>
      <w:r w:rsidRPr="00AD18A8">
        <w:rPr>
          <w:sz w:val="26"/>
          <w:szCs w:val="26"/>
        </w:rPr>
        <w:t>integrācij</w:t>
      </w:r>
      <w:r>
        <w:rPr>
          <w:sz w:val="26"/>
          <w:szCs w:val="26"/>
        </w:rPr>
        <w:t>u un sadarbību</w:t>
      </w:r>
      <w:r w:rsidRPr="00892C17">
        <w:rPr>
          <w:sz w:val="26"/>
          <w:szCs w:val="26"/>
        </w:rPr>
        <w:t>;</w:t>
      </w:r>
    </w:p>
    <w:p w:rsidR="00495B77" w:rsidRDefault="00495B77" w:rsidP="00495B77">
      <w:pPr>
        <w:pStyle w:val="ListParagraph"/>
        <w:numPr>
          <w:ilvl w:val="1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reputāciju</w:t>
      </w:r>
      <w:r w:rsidRPr="00892C17">
        <w:rPr>
          <w:sz w:val="26"/>
          <w:szCs w:val="26"/>
        </w:rPr>
        <w:t>;</w:t>
      </w:r>
    </w:p>
    <w:p w:rsidR="00495B77" w:rsidRDefault="00495B77" w:rsidP="00495B77">
      <w:pPr>
        <w:pStyle w:val="ListParagraph"/>
        <w:numPr>
          <w:ilvl w:val="1"/>
          <w:numId w:val="3"/>
        </w:numPr>
        <w:jc w:val="both"/>
        <w:rPr>
          <w:sz w:val="26"/>
          <w:szCs w:val="26"/>
        </w:rPr>
      </w:pPr>
      <w:r w:rsidRPr="00892C17">
        <w:rPr>
          <w:sz w:val="26"/>
          <w:szCs w:val="26"/>
        </w:rPr>
        <w:t>darbību zinātniskajā vai akadēmiskajā jomā</w:t>
      </w:r>
      <w:r>
        <w:rPr>
          <w:sz w:val="26"/>
          <w:szCs w:val="26"/>
        </w:rPr>
        <w:t>;</w:t>
      </w:r>
    </w:p>
    <w:p w:rsidR="00495B77" w:rsidRDefault="00495B77" w:rsidP="00495B77">
      <w:pPr>
        <w:pStyle w:val="ListParagraph"/>
        <w:numPr>
          <w:ilvl w:val="1"/>
          <w:numId w:val="3"/>
        </w:numPr>
        <w:jc w:val="both"/>
        <w:rPr>
          <w:sz w:val="26"/>
          <w:szCs w:val="26"/>
        </w:rPr>
      </w:pPr>
      <w:r w:rsidRPr="00892C17">
        <w:rPr>
          <w:sz w:val="26"/>
          <w:szCs w:val="26"/>
        </w:rPr>
        <w:t xml:space="preserve">svešvalodu (angļu, franču vai vācu valodas) </w:t>
      </w:r>
      <w:r>
        <w:rPr>
          <w:sz w:val="26"/>
          <w:szCs w:val="26"/>
        </w:rPr>
        <w:t>prasmes;</w:t>
      </w:r>
    </w:p>
    <w:p w:rsidR="00495B77" w:rsidRPr="00892C17" w:rsidRDefault="00495B77" w:rsidP="00495B77">
      <w:pPr>
        <w:pStyle w:val="ListParagraph"/>
        <w:numPr>
          <w:ilvl w:val="1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aktivitātes profesionālās kvalifikācijas celšanai;</w:t>
      </w:r>
    </w:p>
    <w:p w:rsidR="00495B77" w:rsidRPr="00892C17" w:rsidRDefault="00495B77" w:rsidP="00495B77">
      <w:pPr>
        <w:pStyle w:val="ListParagraph"/>
        <w:numPr>
          <w:ilvl w:val="1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citas </w:t>
      </w:r>
      <w:r w:rsidRPr="00892C17">
        <w:rPr>
          <w:sz w:val="26"/>
          <w:szCs w:val="26"/>
        </w:rPr>
        <w:t>aktivitātes</w:t>
      </w:r>
      <w:r>
        <w:rPr>
          <w:sz w:val="26"/>
          <w:szCs w:val="26"/>
        </w:rPr>
        <w:t xml:space="preserve"> </w:t>
      </w:r>
      <w:r w:rsidRPr="00892C17">
        <w:rPr>
          <w:sz w:val="26"/>
          <w:szCs w:val="26"/>
        </w:rPr>
        <w:t>(semināru vadīšana, publikācijas, dalīb</w:t>
      </w:r>
      <w:r>
        <w:rPr>
          <w:sz w:val="26"/>
          <w:szCs w:val="26"/>
        </w:rPr>
        <w:t>a</w:t>
      </w:r>
      <w:r w:rsidRPr="00892C17">
        <w:rPr>
          <w:sz w:val="26"/>
          <w:szCs w:val="26"/>
        </w:rPr>
        <w:t xml:space="preserve"> normatīvo aktu izstrādes darba grupās u.c.)</w:t>
      </w:r>
      <w:r>
        <w:rPr>
          <w:sz w:val="26"/>
          <w:szCs w:val="26"/>
        </w:rPr>
        <w:t>.</w:t>
      </w:r>
    </w:p>
    <w:p w:rsidR="00495B77" w:rsidRPr="00892C17" w:rsidRDefault="00495B77" w:rsidP="00495B77">
      <w:pPr>
        <w:pStyle w:val="ListParagraph"/>
        <w:ind w:left="1080"/>
        <w:rPr>
          <w:sz w:val="26"/>
          <w:szCs w:val="26"/>
        </w:rPr>
      </w:pPr>
    </w:p>
    <w:p w:rsidR="00495B77" w:rsidRDefault="00495B77" w:rsidP="00495B77">
      <w:pPr>
        <w:pStyle w:val="ListParagraph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FB5E0C">
        <w:rPr>
          <w:b/>
          <w:sz w:val="28"/>
          <w:szCs w:val="28"/>
        </w:rPr>
        <w:t>Lēmuma pieņemšana</w:t>
      </w:r>
    </w:p>
    <w:p w:rsidR="00495B77" w:rsidRPr="00E67FA9" w:rsidRDefault="00495B77" w:rsidP="00495B77">
      <w:pPr>
        <w:pStyle w:val="ListParagraph"/>
        <w:ind w:left="1080"/>
        <w:rPr>
          <w:b/>
          <w:sz w:val="28"/>
          <w:szCs w:val="28"/>
        </w:rPr>
      </w:pPr>
    </w:p>
    <w:p w:rsidR="00495B77" w:rsidRPr="00E67FA9" w:rsidRDefault="00495B77" w:rsidP="00495B77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 w:rsidRPr="00FB5E0C">
        <w:rPr>
          <w:sz w:val="26"/>
          <w:szCs w:val="26"/>
        </w:rPr>
        <w:t xml:space="preserve">Lēmumu par piemērotāko kandidātu Tieslietu padome pieņem, balsojot par katru </w:t>
      </w:r>
      <w:r>
        <w:rPr>
          <w:sz w:val="26"/>
          <w:szCs w:val="26"/>
        </w:rPr>
        <w:t>pretendentu</w:t>
      </w:r>
      <w:r w:rsidRPr="00FB5E0C">
        <w:rPr>
          <w:sz w:val="26"/>
          <w:szCs w:val="26"/>
        </w:rPr>
        <w:t xml:space="preserve"> atsevišķi. </w:t>
      </w:r>
      <w:r>
        <w:rPr>
          <w:sz w:val="26"/>
          <w:szCs w:val="26"/>
        </w:rPr>
        <w:t>Ģenerālprokurora amatam</w:t>
      </w:r>
      <w:r w:rsidRPr="00FB5E0C">
        <w:rPr>
          <w:sz w:val="26"/>
          <w:szCs w:val="26"/>
        </w:rPr>
        <w:t xml:space="preserve"> tiek virzīts kandidāts, </w:t>
      </w:r>
      <w:r>
        <w:rPr>
          <w:sz w:val="26"/>
          <w:szCs w:val="26"/>
        </w:rPr>
        <w:t xml:space="preserve">par kuru nobalsojusi vairāk kā puse no likumā noteiktā Tieslietu padomes locekļu kopskaita (8 balsis). </w:t>
      </w:r>
    </w:p>
    <w:p w:rsidR="00495B77" w:rsidRDefault="00495B77" w:rsidP="00495B77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 w:rsidRPr="00FB5E0C">
        <w:rPr>
          <w:sz w:val="26"/>
          <w:szCs w:val="26"/>
        </w:rPr>
        <w:t>Tieslietu padome izsludina jaunu konkursu uz ģenerālprokurora amatu, ja:</w:t>
      </w:r>
    </w:p>
    <w:p w:rsidR="00495B77" w:rsidRDefault="00495B77" w:rsidP="00495B77">
      <w:pPr>
        <w:pStyle w:val="ListParagraph"/>
        <w:numPr>
          <w:ilvl w:val="1"/>
          <w:numId w:val="3"/>
        </w:numPr>
        <w:jc w:val="both"/>
        <w:rPr>
          <w:sz w:val="26"/>
          <w:szCs w:val="26"/>
        </w:rPr>
      </w:pPr>
      <w:r w:rsidRPr="00FB5E0C">
        <w:rPr>
          <w:sz w:val="26"/>
          <w:szCs w:val="26"/>
        </w:rPr>
        <w:t xml:space="preserve">neviens no </w:t>
      </w:r>
      <w:r>
        <w:rPr>
          <w:sz w:val="26"/>
          <w:szCs w:val="26"/>
        </w:rPr>
        <w:t>pretendentiem</w:t>
      </w:r>
      <w:r w:rsidRPr="00FB5E0C">
        <w:rPr>
          <w:sz w:val="26"/>
          <w:szCs w:val="26"/>
        </w:rPr>
        <w:t xml:space="preserve"> nav saņēmis pozitīvu Satversmes aizsardzības biroja atzinumu; </w:t>
      </w:r>
    </w:p>
    <w:p w:rsidR="00495B77" w:rsidRDefault="00495B77" w:rsidP="00495B77">
      <w:pPr>
        <w:pStyle w:val="ListParagraph"/>
        <w:numPr>
          <w:ilvl w:val="1"/>
          <w:numId w:val="3"/>
        </w:numPr>
        <w:jc w:val="both"/>
        <w:rPr>
          <w:sz w:val="26"/>
          <w:szCs w:val="26"/>
        </w:rPr>
      </w:pPr>
      <w:r w:rsidRPr="00FB5E0C">
        <w:rPr>
          <w:sz w:val="26"/>
          <w:szCs w:val="26"/>
        </w:rPr>
        <w:t xml:space="preserve">Tieslietu padome nevienu no </w:t>
      </w:r>
      <w:r>
        <w:rPr>
          <w:sz w:val="26"/>
          <w:szCs w:val="26"/>
        </w:rPr>
        <w:t>pretendentiem</w:t>
      </w:r>
      <w:r w:rsidRPr="00FB5E0C">
        <w:rPr>
          <w:sz w:val="26"/>
          <w:szCs w:val="26"/>
        </w:rPr>
        <w:t xml:space="preserve"> nav atzinusi par piemērotu ģenerālprokurora amatam;</w:t>
      </w:r>
    </w:p>
    <w:p w:rsidR="00495B77" w:rsidRPr="00E67FA9" w:rsidRDefault="00495B77" w:rsidP="00495B77">
      <w:pPr>
        <w:pStyle w:val="ListParagraph"/>
        <w:numPr>
          <w:ilvl w:val="1"/>
          <w:numId w:val="3"/>
        </w:numPr>
        <w:jc w:val="both"/>
      </w:pPr>
      <w:r w:rsidRPr="003E587B">
        <w:rPr>
          <w:sz w:val="26"/>
          <w:szCs w:val="26"/>
        </w:rPr>
        <w:t>Saeima noraidījusi Tieslietu padomes virzīto kandidātu.</w:t>
      </w:r>
    </w:p>
    <w:p w:rsidR="00495B77" w:rsidRDefault="00495B77" w:rsidP="00495B77">
      <w:pPr>
        <w:rPr>
          <w:sz w:val="26"/>
          <w:szCs w:val="26"/>
        </w:rPr>
      </w:pPr>
    </w:p>
    <w:p w:rsidR="00F321B1" w:rsidRPr="00E67FA9" w:rsidRDefault="00F321B1" w:rsidP="00495B77">
      <w:pPr>
        <w:pStyle w:val="ListParagraph"/>
        <w:ind w:left="1080"/>
        <w:jc w:val="both"/>
      </w:pPr>
    </w:p>
    <w:sectPr w:rsidR="00F321B1" w:rsidRPr="00E67FA9" w:rsidSect="001F65E5">
      <w:footerReference w:type="default" r:id="rId8"/>
      <w:pgSz w:w="11906" w:h="16838"/>
      <w:pgMar w:top="993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056" w:rsidRDefault="007E2BD1">
      <w:r>
        <w:separator/>
      </w:r>
    </w:p>
  </w:endnote>
  <w:endnote w:type="continuationSeparator" w:id="0">
    <w:p w:rsidR="00D56056" w:rsidRDefault="007E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3473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679B" w:rsidRDefault="00F321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679B" w:rsidRDefault="00495B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056" w:rsidRDefault="007E2BD1">
      <w:r>
        <w:separator/>
      </w:r>
    </w:p>
  </w:footnote>
  <w:footnote w:type="continuationSeparator" w:id="0">
    <w:p w:rsidR="00D56056" w:rsidRDefault="007E2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8182E"/>
    <w:multiLevelType w:val="hybridMultilevel"/>
    <w:tmpl w:val="770C73A8"/>
    <w:lvl w:ilvl="0" w:tplc="ADE6C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0182C"/>
    <w:multiLevelType w:val="multilevel"/>
    <w:tmpl w:val="3CD88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5F0715E"/>
    <w:multiLevelType w:val="hybridMultilevel"/>
    <w:tmpl w:val="8348FEF6"/>
    <w:lvl w:ilvl="0" w:tplc="1428999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B1"/>
    <w:rsid w:val="00495B77"/>
    <w:rsid w:val="00535E93"/>
    <w:rsid w:val="007C1A7E"/>
    <w:rsid w:val="007E2BD1"/>
    <w:rsid w:val="00D56056"/>
    <w:rsid w:val="00F3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E511"/>
  <w15:chartTrackingRefBased/>
  <w15:docId w15:val="{4D1FCBBE-5D43-4EBD-9D6C-8AA1A2C8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1B1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321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1B1"/>
    <w:rPr>
      <w:rFonts w:eastAsia="Times New Roman" w:cs="Times New Roman"/>
      <w:szCs w:val="20"/>
      <w:lang w:eastAsia="lv-LV"/>
    </w:rPr>
  </w:style>
  <w:style w:type="table" w:styleId="TableGrid">
    <w:name w:val="Table Grid"/>
    <w:basedOn w:val="TableNormal"/>
    <w:uiPriority w:val="59"/>
    <w:rsid w:val="00F321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21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21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t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2990</Words>
  <Characters>1705</Characters>
  <Application>Microsoft Office Word</Application>
  <DocSecurity>0</DocSecurity>
  <Lines>14</Lines>
  <Paragraphs>9</Paragraphs>
  <ScaleCrop>false</ScaleCrop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Kalniņa</dc:creator>
  <cp:keywords/>
  <dc:description/>
  <cp:lastModifiedBy>Linda Kalniņa</cp:lastModifiedBy>
  <cp:revision>3</cp:revision>
  <dcterms:created xsi:type="dcterms:W3CDTF">2020-03-31T08:01:00Z</dcterms:created>
  <dcterms:modified xsi:type="dcterms:W3CDTF">2020-04-01T13:45:00Z</dcterms:modified>
</cp:coreProperties>
</file>