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95" w:rsidRPr="00690C8F" w:rsidRDefault="00D82B95" w:rsidP="00D82B95"/>
    <w:p w:rsidR="006422C8" w:rsidRPr="00131B66" w:rsidRDefault="006422C8" w:rsidP="006422C8">
      <w:pPr>
        <w:ind w:right="141"/>
        <w:jc w:val="right"/>
        <w:rPr>
          <w:i/>
          <w:sz w:val="26"/>
          <w:szCs w:val="26"/>
        </w:rPr>
      </w:pPr>
      <w:r w:rsidRPr="00131B66">
        <w:rPr>
          <w:i/>
          <w:sz w:val="26"/>
          <w:szCs w:val="26"/>
        </w:rPr>
        <w:t>Tieslietu padomes sekretariāts</w:t>
      </w:r>
    </w:p>
    <w:p w:rsidR="006422C8" w:rsidRPr="00131B66" w:rsidRDefault="003E777C" w:rsidP="006422C8">
      <w:pPr>
        <w:ind w:right="141"/>
        <w:jc w:val="right"/>
        <w:rPr>
          <w:i/>
          <w:sz w:val="26"/>
          <w:szCs w:val="26"/>
        </w:rPr>
      </w:pPr>
      <w:r>
        <w:rPr>
          <w:i/>
          <w:sz w:val="26"/>
          <w:szCs w:val="26"/>
        </w:rPr>
        <w:t xml:space="preserve">Pēc izskatīšanas </w:t>
      </w:r>
      <w:r w:rsidR="006422C8" w:rsidRPr="00131B66">
        <w:rPr>
          <w:i/>
          <w:sz w:val="26"/>
          <w:szCs w:val="26"/>
        </w:rPr>
        <w:t>Tieslietu padomes 20</w:t>
      </w:r>
      <w:r w:rsidR="006422C8">
        <w:rPr>
          <w:i/>
          <w:sz w:val="26"/>
          <w:szCs w:val="26"/>
        </w:rPr>
        <w:t>20</w:t>
      </w:r>
      <w:r w:rsidR="006422C8" w:rsidRPr="00131B66">
        <w:rPr>
          <w:i/>
          <w:sz w:val="26"/>
          <w:szCs w:val="26"/>
        </w:rPr>
        <w:t xml:space="preserve">. gada </w:t>
      </w:r>
      <w:r w:rsidR="006422C8">
        <w:rPr>
          <w:i/>
          <w:sz w:val="26"/>
          <w:szCs w:val="26"/>
        </w:rPr>
        <w:t>9. marta</w:t>
      </w:r>
      <w:r w:rsidR="006422C8" w:rsidRPr="00131B66">
        <w:rPr>
          <w:i/>
          <w:sz w:val="26"/>
          <w:szCs w:val="26"/>
        </w:rPr>
        <w:t xml:space="preserve"> sēdē</w:t>
      </w:r>
    </w:p>
    <w:p w:rsidR="006422C8" w:rsidRPr="00131B66" w:rsidRDefault="006422C8" w:rsidP="006422C8">
      <w:pPr>
        <w:jc w:val="right"/>
        <w:rPr>
          <w:b/>
          <w:i/>
          <w:sz w:val="26"/>
          <w:szCs w:val="26"/>
        </w:rPr>
      </w:pPr>
      <w:r w:rsidRPr="00131B66">
        <w:rPr>
          <w:i/>
          <w:sz w:val="26"/>
          <w:szCs w:val="26"/>
        </w:rPr>
        <w:t xml:space="preserve"> </w:t>
      </w:r>
    </w:p>
    <w:p w:rsidR="00E14912" w:rsidRPr="006422C8" w:rsidRDefault="006422C8" w:rsidP="00E14912">
      <w:pPr>
        <w:jc w:val="center"/>
        <w:rPr>
          <w:sz w:val="28"/>
          <w:szCs w:val="28"/>
        </w:rPr>
      </w:pPr>
      <w:r w:rsidRPr="006422C8">
        <w:rPr>
          <w:b/>
          <w:sz w:val="28"/>
          <w:szCs w:val="28"/>
        </w:rPr>
        <w:t>Priekšlikumi g</w:t>
      </w:r>
      <w:r w:rsidR="00E14912" w:rsidRPr="006422C8">
        <w:rPr>
          <w:b/>
          <w:sz w:val="28"/>
          <w:szCs w:val="28"/>
        </w:rPr>
        <w:t>rozījumi</w:t>
      </w:r>
      <w:r w:rsidRPr="006422C8">
        <w:rPr>
          <w:b/>
          <w:sz w:val="28"/>
          <w:szCs w:val="28"/>
        </w:rPr>
        <w:t>em</w:t>
      </w:r>
      <w:r w:rsidR="00E14912" w:rsidRPr="006422C8">
        <w:rPr>
          <w:b/>
          <w:sz w:val="28"/>
          <w:szCs w:val="28"/>
        </w:rPr>
        <w:t xml:space="preserve"> </w:t>
      </w:r>
      <w:r w:rsidR="00685644" w:rsidRPr="006422C8">
        <w:rPr>
          <w:b/>
          <w:sz w:val="28"/>
          <w:szCs w:val="28"/>
        </w:rPr>
        <w:t>Satversmes tiesas likumā</w:t>
      </w:r>
    </w:p>
    <w:p w:rsidR="007169A0" w:rsidRPr="00690C8F" w:rsidRDefault="007169A0" w:rsidP="006422C8">
      <w:pPr>
        <w:jc w:val="center"/>
        <w:rPr>
          <w:b/>
          <w:sz w:val="28"/>
          <w:szCs w:val="28"/>
        </w:rPr>
      </w:pPr>
    </w:p>
    <w:tbl>
      <w:tblPr>
        <w:tblStyle w:val="TableGrid"/>
        <w:tblW w:w="15304" w:type="dxa"/>
        <w:tblInd w:w="-147" w:type="dxa"/>
        <w:tblLayout w:type="fixed"/>
        <w:tblLook w:val="04A0" w:firstRow="1" w:lastRow="0" w:firstColumn="1" w:lastColumn="0" w:noHBand="0" w:noVBand="1"/>
      </w:tblPr>
      <w:tblGrid>
        <w:gridCol w:w="6238"/>
        <w:gridCol w:w="546"/>
        <w:gridCol w:w="5974"/>
        <w:gridCol w:w="2546"/>
      </w:tblGrid>
      <w:tr w:rsidR="006422C8" w:rsidRPr="002D3A26" w:rsidTr="008A2E12">
        <w:trPr>
          <w:trHeight w:val="571"/>
        </w:trPr>
        <w:tc>
          <w:tcPr>
            <w:tcW w:w="6238" w:type="dxa"/>
            <w:vAlign w:val="center"/>
          </w:tcPr>
          <w:p w:rsidR="006422C8" w:rsidRPr="002D3A26" w:rsidRDefault="006422C8" w:rsidP="002D3A26">
            <w:pPr>
              <w:jc w:val="center"/>
              <w:rPr>
                <w:rFonts w:eastAsiaTheme="minorHAnsi"/>
                <w:b/>
                <w:lang w:eastAsia="en-US"/>
              </w:rPr>
            </w:pPr>
            <w:r w:rsidRPr="002D3A26">
              <w:rPr>
                <w:rFonts w:eastAsiaTheme="minorHAnsi"/>
                <w:b/>
                <w:lang w:eastAsia="en-US"/>
              </w:rPr>
              <w:t>Spēkā esošā redakcija</w:t>
            </w:r>
          </w:p>
        </w:tc>
        <w:tc>
          <w:tcPr>
            <w:tcW w:w="546" w:type="dxa"/>
          </w:tcPr>
          <w:p w:rsidR="006422C8" w:rsidRDefault="006422C8" w:rsidP="00EF082A">
            <w:pPr>
              <w:jc w:val="center"/>
              <w:rPr>
                <w:rFonts w:eastAsiaTheme="minorHAnsi"/>
                <w:b/>
                <w:lang w:eastAsia="en-US"/>
              </w:rPr>
            </w:pPr>
          </w:p>
        </w:tc>
        <w:tc>
          <w:tcPr>
            <w:tcW w:w="5974" w:type="dxa"/>
            <w:vAlign w:val="center"/>
          </w:tcPr>
          <w:p w:rsidR="006422C8" w:rsidRDefault="006422C8" w:rsidP="00EF082A">
            <w:pPr>
              <w:jc w:val="center"/>
              <w:rPr>
                <w:rFonts w:eastAsiaTheme="minorHAnsi"/>
                <w:b/>
                <w:lang w:eastAsia="en-US"/>
              </w:rPr>
            </w:pPr>
            <w:r>
              <w:rPr>
                <w:rFonts w:eastAsiaTheme="minorHAnsi"/>
                <w:b/>
                <w:lang w:eastAsia="en-US"/>
              </w:rPr>
              <w:t xml:space="preserve">Likumprojekts </w:t>
            </w:r>
          </w:p>
          <w:p w:rsidR="0027144E" w:rsidRPr="0027144E" w:rsidRDefault="0027144E" w:rsidP="0027144E">
            <w:pPr>
              <w:jc w:val="center"/>
              <w:rPr>
                <w:rFonts w:eastAsiaTheme="minorHAnsi"/>
                <w:b/>
                <w:lang w:eastAsia="en-US"/>
              </w:rPr>
            </w:pPr>
            <w:r w:rsidRPr="0027144E">
              <w:rPr>
                <w:rFonts w:eastAsiaTheme="minorHAnsi"/>
                <w:b/>
                <w:lang w:eastAsia="en-US"/>
              </w:rPr>
              <w:t>(Nr.551/Lp13)</w:t>
            </w:r>
          </w:p>
          <w:p w:rsidR="0027144E" w:rsidRPr="008F4341" w:rsidRDefault="0027144E" w:rsidP="00EF082A">
            <w:pPr>
              <w:jc w:val="center"/>
              <w:rPr>
                <w:rFonts w:eastAsiaTheme="minorHAnsi"/>
                <w:i/>
                <w:sz w:val="20"/>
                <w:szCs w:val="20"/>
                <w:lang w:eastAsia="en-US"/>
              </w:rPr>
            </w:pPr>
          </w:p>
        </w:tc>
        <w:tc>
          <w:tcPr>
            <w:tcW w:w="2546" w:type="dxa"/>
          </w:tcPr>
          <w:p w:rsidR="006422C8" w:rsidRDefault="006422C8" w:rsidP="00EF082A">
            <w:pPr>
              <w:jc w:val="center"/>
              <w:rPr>
                <w:rFonts w:eastAsiaTheme="minorHAnsi"/>
                <w:b/>
                <w:lang w:eastAsia="en-US"/>
              </w:rPr>
            </w:pPr>
            <w:r>
              <w:rPr>
                <w:rFonts w:eastAsiaTheme="minorHAnsi"/>
                <w:b/>
                <w:lang w:eastAsia="en-US"/>
              </w:rPr>
              <w:t xml:space="preserve">Tieslietu padomes </w:t>
            </w:r>
          </w:p>
          <w:p w:rsidR="006422C8" w:rsidRDefault="006422C8" w:rsidP="00EF082A">
            <w:pPr>
              <w:jc w:val="center"/>
              <w:rPr>
                <w:rFonts w:eastAsiaTheme="minorHAnsi"/>
                <w:b/>
                <w:lang w:eastAsia="en-US"/>
              </w:rPr>
            </w:pPr>
            <w:r>
              <w:rPr>
                <w:rFonts w:eastAsiaTheme="minorHAnsi"/>
                <w:b/>
                <w:lang w:eastAsia="en-US"/>
              </w:rPr>
              <w:t>viedoklis</w:t>
            </w:r>
          </w:p>
        </w:tc>
      </w:tr>
      <w:tr w:rsidR="006422C8" w:rsidRPr="002D3A26" w:rsidTr="008A2E12">
        <w:tc>
          <w:tcPr>
            <w:tcW w:w="6238" w:type="dxa"/>
          </w:tcPr>
          <w:p w:rsidR="006422C8" w:rsidRPr="002D3A26" w:rsidRDefault="006422C8" w:rsidP="002D3A26">
            <w:pPr>
              <w:ind w:firstLine="567"/>
              <w:jc w:val="both"/>
              <w:rPr>
                <w:rFonts w:eastAsiaTheme="minorHAnsi"/>
                <w:lang w:eastAsia="en-US"/>
              </w:rPr>
            </w:pPr>
          </w:p>
        </w:tc>
        <w:tc>
          <w:tcPr>
            <w:tcW w:w="546" w:type="dxa"/>
          </w:tcPr>
          <w:p w:rsidR="006422C8" w:rsidRPr="00685644" w:rsidRDefault="006422C8" w:rsidP="00685644">
            <w:pPr>
              <w:ind w:firstLine="720"/>
              <w:jc w:val="both"/>
              <w:rPr>
                <w:color w:val="000000"/>
              </w:rPr>
            </w:pPr>
          </w:p>
        </w:tc>
        <w:tc>
          <w:tcPr>
            <w:tcW w:w="5974" w:type="dxa"/>
          </w:tcPr>
          <w:p w:rsidR="006422C8" w:rsidRPr="00685644" w:rsidRDefault="006422C8" w:rsidP="008A2E12">
            <w:pPr>
              <w:jc w:val="both"/>
              <w:rPr>
                <w:color w:val="000000"/>
              </w:rPr>
            </w:pPr>
            <w:r w:rsidRPr="00685644">
              <w:rPr>
                <w:color w:val="000000"/>
              </w:rPr>
              <w:t>Izdarīt Satversmes tiesas likumā (Latvijas Republikas Saeimas un Ministru Kabineta Ziņotājs, 1996, 14. nr.; 1997, 20. nr.; 2001, 2. nr.; 2003, 15. nr.; 2004, 4. nr.; 2008, 8. nr.; 2009, 2. nr.; Latvijas Vēstnesis, 2009, 194., 205. nr.; 2010, 206. nr.; 2011, 85., 196. nr.; 2013, 188. nr.; 2017, 59. nr.) šādus grozījumus:</w:t>
            </w:r>
          </w:p>
        </w:tc>
        <w:tc>
          <w:tcPr>
            <w:tcW w:w="2546" w:type="dxa"/>
          </w:tcPr>
          <w:p w:rsidR="006422C8" w:rsidRPr="00685644" w:rsidRDefault="006422C8" w:rsidP="00685644">
            <w:pPr>
              <w:ind w:firstLine="720"/>
              <w:jc w:val="both"/>
              <w:rPr>
                <w:color w:val="000000"/>
              </w:rPr>
            </w:pPr>
          </w:p>
        </w:tc>
      </w:tr>
      <w:tr w:rsidR="006422C8" w:rsidRPr="002D3A26" w:rsidTr="008A2E12">
        <w:tc>
          <w:tcPr>
            <w:tcW w:w="6238" w:type="dxa"/>
          </w:tcPr>
          <w:p w:rsidR="006422C8" w:rsidRPr="00627073" w:rsidRDefault="006422C8" w:rsidP="00685644">
            <w:pPr>
              <w:ind w:firstLine="567"/>
              <w:jc w:val="both"/>
            </w:pPr>
            <w:proofErr w:type="gramStart"/>
            <w:r w:rsidRPr="00627073">
              <w:rPr>
                <w:b/>
                <w:bCs/>
              </w:rPr>
              <w:t>7.pants</w:t>
            </w:r>
            <w:proofErr w:type="gramEnd"/>
            <w:r w:rsidRPr="00627073">
              <w:rPr>
                <w:b/>
                <w:bCs/>
              </w:rPr>
              <w:t>. Satversmes tiesas tiesneša pilnvaru termiņš</w:t>
            </w:r>
          </w:p>
          <w:p w:rsidR="006422C8" w:rsidRPr="00627073" w:rsidRDefault="006422C8" w:rsidP="00685644">
            <w:pPr>
              <w:ind w:firstLine="567"/>
              <w:jc w:val="both"/>
            </w:pPr>
            <w:r w:rsidRPr="00627073">
              <w:t xml:space="preserve">(1) Satversmes tiesas tiesneša pilnvaru termiņš ir desmit gadi no dienas, kad </w:t>
            </w:r>
            <w:proofErr w:type="gramStart"/>
            <w:r w:rsidRPr="00627073">
              <w:t>viņš atbilstoši</w:t>
            </w:r>
            <w:proofErr w:type="gramEnd"/>
            <w:r w:rsidRPr="00627073">
              <w:t xml:space="preserve"> šā likuma </w:t>
            </w:r>
            <w:hyperlink r:id="rId8" w:anchor="p5" w:history="1">
              <w:r w:rsidRPr="00627073">
                <w:t>5.pantam</w:t>
              </w:r>
            </w:hyperlink>
            <w:r w:rsidRPr="00627073">
              <w:t xml:space="preserve"> sācis pildīt Satversmes tiesas tiesneša amata pienākumus, izņemot šā likuma </w:t>
            </w:r>
            <w:hyperlink r:id="rId9" w:anchor="p11" w:history="1">
              <w:r w:rsidRPr="00627073">
                <w:t>11.panta</w:t>
              </w:r>
            </w:hyperlink>
            <w:r w:rsidRPr="00627073">
              <w:t xml:space="preserve"> trešajā un ceturtajā daļā paredzētos gadījumus.</w:t>
            </w:r>
          </w:p>
          <w:p w:rsidR="006422C8" w:rsidRPr="00627073" w:rsidRDefault="006422C8" w:rsidP="00685644">
            <w:pPr>
              <w:ind w:firstLine="567"/>
              <w:jc w:val="both"/>
            </w:pPr>
            <w:r w:rsidRPr="00627073">
              <w:t xml:space="preserve">(2) Savu pilnvaru laikā, izņemot šā likuma </w:t>
            </w:r>
            <w:hyperlink r:id="rId10" w:anchor="p10" w:history="1">
              <w:r w:rsidRPr="00627073">
                <w:t>10.pantā</w:t>
              </w:r>
            </w:hyperlink>
            <w:r w:rsidRPr="00627073">
              <w:t xml:space="preserve"> noteiktos gadījumus, Satversmes tiesas tiesnesis ir neatceļams.</w:t>
            </w:r>
          </w:p>
          <w:p w:rsidR="006422C8" w:rsidRPr="00627073" w:rsidRDefault="006422C8" w:rsidP="00685644">
            <w:pPr>
              <w:ind w:firstLine="567"/>
              <w:jc w:val="both"/>
            </w:pPr>
            <w:r w:rsidRPr="00627073">
              <w:t xml:space="preserve">(3) Viena un tā pati persona nevar ieņemt Satversmes tiesas tiesneša amatu ilgāk par desmit gadiem pēc kārtas, izņemot šā likuma </w:t>
            </w:r>
            <w:hyperlink r:id="rId11" w:anchor="p11" w:history="1">
              <w:r w:rsidRPr="00627073">
                <w:t>11. panta</w:t>
              </w:r>
            </w:hyperlink>
            <w:r w:rsidRPr="00627073">
              <w:t xml:space="preserve"> trešajā un ceturtajā daļā paredzētos gadījumus.</w:t>
            </w:r>
          </w:p>
          <w:p w:rsidR="006422C8" w:rsidRPr="00627073" w:rsidRDefault="006422C8" w:rsidP="00685644">
            <w:pPr>
              <w:ind w:firstLine="567"/>
              <w:jc w:val="both"/>
              <w:rPr>
                <w:u w:val="single"/>
              </w:rPr>
            </w:pPr>
            <w:r w:rsidRPr="00627073">
              <w:rPr>
                <w:u w:val="single"/>
              </w:rPr>
              <w:t>(4) Ja par Satversmes tiesas tiesnesi apstiprināta persona, kas saskaņā ar likumu "</w:t>
            </w:r>
            <w:hyperlink r:id="rId12" w:tgtFrame="_blank" w:history="1">
              <w:r w:rsidRPr="00627073">
                <w:rPr>
                  <w:u w:val="single"/>
                </w:rPr>
                <w:t>Par tiesu varu</w:t>
              </w:r>
            </w:hyperlink>
            <w:r w:rsidRPr="00627073">
              <w:rPr>
                <w:u w:val="single"/>
              </w:rPr>
              <w:t>" apstiprināta par tiesnesi bez pilnvaru termiņa ierobežojuma, tai pēc Satversmes tiesas tiesneša pilnvaru izbeigšanās ir tiesības atgriezties iepriekšējā tiesneša amatā, ja tā nav sasniegusi tiesneša amata pildīšanai noteikto maksimālo vecumu.</w:t>
            </w:r>
          </w:p>
          <w:p w:rsidR="006422C8" w:rsidRPr="00627073" w:rsidRDefault="006422C8" w:rsidP="006422C8">
            <w:pPr>
              <w:ind w:firstLine="567"/>
              <w:jc w:val="both"/>
              <w:rPr>
                <w:i/>
                <w:sz w:val="20"/>
                <w:szCs w:val="20"/>
              </w:rPr>
            </w:pPr>
            <w:r w:rsidRPr="00627073">
              <w:rPr>
                <w:i/>
                <w:sz w:val="20"/>
                <w:szCs w:val="20"/>
              </w:rPr>
              <w:t xml:space="preserve">(Ar grozījumiem, kas izdarīti ar </w:t>
            </w:r>
            <w:hyperlink r:id="rId13" w:tgtFrame="_blank" w:history="1">
              <w:r w:rsidRPr="00627073">
                <w:rPr>
                  <w:i/>
                  <w:sz w:val="20"/>
                  <w:szCs w:val="20"/>
                </w:rPr>
                <w:t>30.11.2000.</w:t>
              </w:r>
            </w:hyperlink>
            <w:r w:rsidRPr="00627073">
              <w:rPr>
                <w:i/>
                <w:sz w:val="20"/>
                <w:szCs w:val="20"/>
              </w:rPr>
              <w:t xml:space="preserve"> un </w:t>
            </w:r>
            <w:hyperlink r:id="rId14" w:tgtFrame="_blank" w:history="1">
              <w:r w:rsidRPr="00627073">
                <w:rPr>
                  <w:i/>
                  <w:sz w:val="20"/>
                  <w:szCs w:val="20"/>
                </w:rPr>
                <w:t>10.12.2009</w:t>
              </w:r>
            </w:hyperlink>
            <w:r w:rsidRPr="00627073">
              <w:rPr>
                <w:i/>
                <w:sz w:val="20"/>
                <w:szCs w:val="20"/>
              </w:rPr>
              <w:t xml:space="preserve">. likumu, kas stājas spēkā </w:t>
            </w:r>
            <w:hyperlink r:id="rId15" w:tgtFrame="_blank" w:history="1">
              <w:r w:rsidRPr="00627073">
                <w:rPr>
                  <w:i/>
                  <w:sz w:val="20"/>
                  <w:szCs w:val="20"/>
                </w:rPr>
                <w:t>01.01.2010.</w:t>
              </w:r>
            </w:hyperlink>
            <w:r w:rsidRPr="00627073">
              <w:rPr>
                <w:i/>
                <w:sz w:val="20"/>
                <w:szCs w:val="20"/>
              </w:rPr>
              <w:t xml:space="preserve"> Ar Satversmes tiesas </w:t>
            </w:r>
            <w:hyperlink r:id="rId16" w:tgtFrame="_blank" w:history="1">
              <w:r w:rsidRPr="00627073">
                <w:rPr>
                  <w:i/>
                  <w:sz w:val="20"/>
                  <w:szCs w:val="20"/>
                </w:rPr>
                <w:t>18.10.2007.</w:t>
              </w:r>
            </w:hyperlink>
            <w:r w:rsidRPr="00627073">
              <w:rPr>
                <w:i/>
                <w:sz w:val="20"/>
                <w:szCs w:val="20"/>
              </w:rPr>
              <w:t xml:space="preserve"> spriedumu vārdi "persona, kas saskaņā ar likumu "</w:t>
            </w:r>
            <w:hyperlink r:id="rId17" w:tgtFrame="_blank" w:history="1">
              <w:r w:rsidRPr="00627073">
                <w:rPr>
                  <w:i/>
                  <w:sz w:val="20"/>
                  <w:szCs w:val="20"/>
                </w:rPr>
                <w:t>Par tiesu varu</w:t>
              </w:r>
            </w:hyperlink>
            <w:r w:rsidRPr="00627073">
              <w:rPr>
                <w:i/>
                <w:sz w:val="20"/>
                <w:szCs w:val="20"/>
              </w:rPr>
              <w:t xml:space="preserve">" apstiprināta par tiesnesi bez pilnvaru termiņa ierobežojuma" atzīti par neatbilstošiem LR </w:t>
            </w:r>
            <w:hyperlink r:id="rId18" w:tgtFrame="_blank" w:history="1">
              <w:r w:rsidRPr="00627073">
                <w:rPr>
                  <w:i/>
                  <w:sz w:val="20"/>
                  <w:szCs w:val="20"/>
                </w:rPr>
                <w:t>Satversmes</w:t>
              </w:r>
            </w:hyperlink>
            <w:r w:rsidRPr="00627073">
              <w:rPr>
                <w:i/>
                <w:sz w:val="20"/>
                <w:szCs w:val="20"/>
              </w:rPr>
              <w:t xml:space="preserve"> </w:t>
            </w:r>
            <w:hyperlink r:id="rId19" w:anchor="p83" w:tgtFrame="_blank" w:history="1">
              <w:r w:rsidRPr="00627073">
                <w:rPr>
                  <w:i/>
                  <w:sz w:val="20"/>
                  <w:szCs w:val="20"/>
                </w:rPr>
                <w:t>83. pantam</w:t>
              </w:r>
            </w:hyperlink>
            <w:r w:rsidRPr="00627073">
              <w:rPr>
                <w:i/>
                <w:sz w:val="20"/>
                <w:szCs w:val="20"/>
              </w:rPr>
              <w:t xml:space="preserve"> un </w:t>
            </w:r>
            <w:hyperlink r:id="rId20" w:anchor="p91" w:tgtFrame="_blank" w:history="1">
              <w:r w:rsidRPr="00627073">
                <w:rPr>
                  <w:i/>
                  <w:sz w:val="20"/>
                  <w:szCs w:val="20"/>
                </w:rPr>
                <w:t>91. panta</w:t>
              </w:r>
            </w:hyperlink>
            <w:r w:rsidRPr="00627073">
              <w:rPr>
                <w:i/>
                <w:sz w:val="20"/>
                <w:szCs w:val="20"/>
              </w:rPr>
              <w:t xml:space="preserve"> pirmajam teikumam un spēkā neesošiem no </w:t>
            </w:r>
            <w:hyperlink r:id="rId21" w:tgtFrame="_blank" w:history="1">
              <w:r w:rsidRPr="00627073">
                <w:rPr>
                  <w:i/>
                  <w:sz w:val="20"/>
                  <w:szCs w:val="20"/>
                </w:rPr>
                <w:t>01.04.2008.</w:t>
              </w:r>
            </w:hyperlink>
            <w:r w:rsidRPr="00627073">
              <w:rPr>
                <w:i/>
                <w:sz w:val="20"/>
                <w:szCs w:val="20"/>
              </w:rPr>
              <w:t>)</w:t>
            </w:r>
          </w:p>
        </w:tc>
        <w:tc>
          <w:tcPr>
            <w:tcW w:w="546" w:type="dxa"/>
          </w:tcPr>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422C8">
            <w:pPr>
              <w:jc w:val="both"/>
            </w:pPr>
          </w:p>
          <w:p w:rsidR="006422C8" w:rsidRPr="00627073" w:rsidRDefault="006422C8" w:rsidP="006422C8">
            <w:pPr>
              <w:jc w:val="both"/>
            </w:pPr>
          </w:p>
          <w:p w:rsidR="006422C8" w:rsidRPr="00627073" w:rsidRDefault="006422C8" w:rsidP="006422C8">
            <w:pPr>
              <w:jc w:val="both"/>
              <w:rPr>
                <w:b/>
                <w:bCs/>
              </w:rPr>
            </w:pPr>
            <w:r w:rsidRPr="00627073">
              <w:rPr>
                <w:b/>
                <w:bCs/>
              </w:rPr>
              <w:t>1.</w:t>
            </w:r>
          </w:p>
        </w:tc>
        <w:tc>
          <w:tcPr>
            <w:tcW w:w="5974" w:type="dxa"/>
          </w:tcPr>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85644">
            <w:pPr>
              <w:ind w:firstLine="567"/>
              <w:jc w:val="both"/>
            </w:pPr>
          </w:p>
          <w:p w:rsidR="006422C8" w:rsidRPr="00627073" w:rsidRDefault="006422C8" w:rsidP="006422C8">
            <w:pPr>
              <w:jc w:val="both"/>
            </w:pPr>
          </w:p>
          <w:p w:rsidR="006422C8" w:rsidRPr="00627073" w:rsidRDefault="006422C8" w:rsidP="006422C8">
            <w:pPr>
              <w:jc w:val="both"/>
            </w:pPr>
            <w:r w:rsidRPr="00627073">
              <w:t> Izslēgt 7. panta ceturto daļu.</w:t>
            </w:r>
          </w:p>
          <w:p w:rsidR="006422C8" w:rsidRPr="00627073" w:rsidRDefault="006422C8" w:rsidP="00685644">
            <w:pPr>
              <w:ind w:firstLine="567"/>
              <w:jc w:val="both"/>
              <w:rPr>
                <w:color w:val="000000" w:themeColor="text1"/>
              </w:rPr>
            </w:pPr>
          </w:p>
        </w:tc>
        <w:tc>
          <w:tcPr>
            <w:tcW w:w="2546" w:type="dxa"/>
          </w:tcPr>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0D79AF" w:rsidRDefault="000D79AF" w:rsidP="00685644">
            <w:pPr>
              <w:ind w:firstLine="567"/>
              <w:jc w:val="both"/>
            </w:pPr>
          </w:p>
          <w:p w:rsidR="006422C8" w:rsidRPr="000D79AF" w:rsidRDefault="00627073" w:rsidP="00685644">
            <w:pPr>
              <w:ind w:firstLine="567"/>
              <w:jc w:val="both"/>
              <w:rPr>
                <w:b/>
              </w:rPr>
            </w:pPr>
            <w:r w:rsidRPr="000D79AF">
              <w:rPr>
                <w:b/>
              </w:rPr>
              <w:t>Atbalstīt</w:t>
            </w:r>
          </w:p>
        </w:tc>
      </w:tr>
      <w:tr w:rsidR="006422C8" w:rsidRPr="002D3A26" w:rsidTr="008A2E12">
        <w:tc>
          <w:tcPr>
            <w:tcW w:w="6238" w:type="dxa"/>
          </w:tcPr>
          <w:p w:rsidR="006422C8" w:rsidRPr="00627073" w:rsidRDefault="006422C8" w:rsidP="001A0D28">
            <w:pPr>
              <w:ind w:firstLine="567"/>
              <w:jc w:val="both"/>
              <w:rPr>
                <w:b/>
                <w:bCs/>
              </w:rPr>
            </w:pPr>
          </w:p>
        </w:tc>
        <w:tc>
          <w:tcPr>
            <w:tcW w:w="546" w:type="dxa"/>
          </w:tcPr>
          <w:p w:rsidR="006422C8" w:rsidRPr="00627073" w:rsidRDefault="006422C8" w:rsidP="006422C8">
            <w:pPr>
              <w:jc w:val="both"/>
              <w:rPr>
                <w:b/>
                <w:bCs/>
              </w:rPr>
            </w:pPr>
            <w:r w:rsidRPr="00627073">
              <w:rPr>
                <w:b/>
                <w:bCs/>
              </w:rPr>
              <w:t>2.</w:t>
            </w:r>
          </w:p>
        </w:tc>
        <w:tc>
          <w:tcPr>
            <w:tcW w:w="5974" w:type="dxa"/>
          </w:tcPr>
          <w:p w:rsidR="006422C8" w:rsidRPr="00627073" w:rsidRDefault="006422C8" w:rsidP="006422C8">
            <w:pPr>
              <w:jc w:val="both"/>
            </w:pPr>
            <w:r w:rsidRPr="00627073">
              <w:t>Papildināt likumu ar 7.</w:t>
            </w:r>
            <w:r w:rsidRPr="00627073">
              <w:rPr>
                <w:vertAlign w:val="superscript"/>
              </w:rPr>
              <w:t>1</w:t>
            </w:r>
            <w:r w:rsidRPr="00627073">
              <w:t> pantu šādā redakcijā:</w:t>
            </w:r>
          </w:p>
          <w:p w:rsidR="006422C8" w:rsidRPr="00627073" w:rsidRDefault="006422C8" w:rsidP="00685644">
            <w:pPr>
              <w:ind w:firstLine="720"/>
              <w:jc w:val="both"/>
              <w:rPr>
                <w:b/>
              </w:rPr>
            </w:pPr>
            <w:bookmarkStart w:id="0" w:name="_Hlk17704576"/>
            <w:r w:rsidRPr="00627073">
              <w:t>"</w:t>
            </w:r>
            <w:bookmarkEnd w:id="0"/>
            <w:r w:rsidRPr="00627073">
              <w:rPr>
                <w:b/>
              </w:rPr>
              <w:t>7.</w:t>
            </w:r>
            <w:r w:rsidRPr="00627073">
              <w:rPr>
                <w:b/>
                <w:vertAlign w:val="superscript"/>
              </w:rPr>
              <w:t>1</w:t>
            </w:r>
            <w:r w:rsidRPr="00627073">
              <w:rPr>
                <w:b/>
              </w:rPr>
              <w:t> pants. Satversmes tiesas tiesneša garantijas pēc pilnvaru termiņa beigām</w:t>
            </w:r>
          </w:p>
          <w:p w:rsidR="006422C8" w:rsidRPr="00627073" w:rsidRDefault="006422C8" w:rsidP="00685644">
            <w:pPr>
              <w:ind w:firstLine="720"/>
              <w:jc w:val="both"/>
            </w:pPr>
            <w:r w:rsidRPr="00627073">
              <w:t>(1) </w:t>
            </w:r>
            <w:bookmarkStart w:id="1" w:name="_Hlk18311111"/>
            <w:r w:rsidRPr="00627073">
              <w:t>Satversmes tiesas tiesnesim pēc pilnvaru termiņa izbeigšanās ir tiesības likumā "Par tiesu varu" noteiktajā kārtībā pretendēt uz vakanto Augstākās tiesas tiesneša amatu, ja viņš nav sasniedzis tiesneša amata pildīšanai noteikto maksimālo vecumu</w:t>
            </w:r>
            <w:bookmarkEnd w:id="1"/>
            <w:r w:rsidRPr="00627073">
              <w:t>.</w:t>
            </w:r>
          </w:p>
          <w:p w:rsidR="006422C8" w:rsidRPr="00627073" w:rsidRDefault="006422C8" w:rsidP="00685644">
            <w:pPr>
              <w:ind w:firstLine="720"/>
              <w:jc w:val="both"/>
            </w:pPr>
            <w:r w:rsidRPr="00627073">
              <w:t>(2) </w:t>
            </w:r>
            <w:bookmarkStart w:id="2" w:name="_Hlk14773477"/>
            <w:r w:rsidRPr="00627073">
              <w:t>Satversmes tiesas tiesnesim pēc pilnvaru termiņa izbeigšanās ir tiesības gada laikā tikt ieceltam vakantā valsts civildienesta ierēdņa amatā atbilstoši attiecīgās amata vietas pretendentam noteiktajām prasībām.</w:t>
            </w:r>
          </w:p>
          <w:bookmarkEnd w:id="2"/>
          <w:p w:rsidR="006422C8" w:rsidRPr="00627073" w:rsidRDefault="006422C8" w:rsidP="00685644">
            <w:pPr>
              <w:ind w:firstLine="720"/>
              <w:jc w:val="both"/>
            </w:pPr>
            <w:r w:rsidRPr="00627073">
              <w:t>(3) Ja līdz apstiprināšanai par Satversmes tiesas tiesnesi persona ieņēma ierēdņa amatu atbilstoši Valsts civildienesta likumam, pēc Satversmes tiesas tiesneša pilnvaru izbeigšanās iestāde nodrošina viņai tiesības ieņemt līdzvērtīgu amatu.</w:t>
            </w:r>
            <w:r w:rsidRPr="00627073" w:rsidDel="001019CE">
              <w:t xml:space="preserve"> </w:t>
            </w:r>
          </w:p>
          <w:p w:rsidR="006422C8" w:rsidRPr="00627073" w:rsidRDefault="006422C8" w:rsidP="00685644">
            <w:pPr>
              <w:ind w:firstLine="720"/>
              <w:jc w:val="both"/>
            </w:pPr>
            <w:r w:rsidRPr="00627073">
              <w:t>(4) Ja par Satversmes tiesas tiesnesi apstiprināta persona, kas saskaņā ar likumu "Par tiesu varu" apstiprināta par tiesnesi bez pilnvaru termiņa ierobežojuma, viņai pēc Satversmes tiesas tiesneša pilnvaru izbeigšanās ir tiesības atgriezties iepriekšējā tiesneša amatā, ja tā nav sasniegusi tiesneša amata pildīšanai noteikto maksimālo vecumu.</w:t>
            </w:r>
          </w:p>
          <w:p w:rsidR="008A2E12" w:rsidRPr="00627073" w:rsidRDefault="006422C8" w:rsidP="008A2E12">
            <w:pPr>
              <w:ind w:firstLine="720"/>
              <w:contextualSpacing/>
              <w:jc w:val="both"/>
            </w:pPr>
            <w:r w:rsidRPr="00627073">
              <w:t>(5) Atlaišanas pabalstu Satversmes tiesas tiesnesim pēc pilnvaru termiņa beigām nosaka atbilstoši Valsts un pašvaldību institūciju amatpersonu un darbinieku atlīdzības likumam."</w:t>
            </w:r>
          </w:p>
        </w:tc>
        <w:tc>
          <w:tcPr>
            <w:tcW w:w="2546" w:type="dxa"/>
          </w:tcPr>
          <w:p w:rsidR="006422C8" w:rsidRPr="000D79AF" w:rsidRDefault="00627073" w:rsidP="00685644">
            <w:pPr>
              <w:ind w:firstLine="720"/>
              <w:jc w:val="both"/>
              <w:rPr>
                <w:b/>
              </w:rPr>
            </w:pPr>
            <w:bookmarkStart w:id="3" w:name="_GoBack"/>
            <w:r w:rsidRPr="000D79AF">
              <w:rPr>
                <w:b/>
              </w:rPr>
              <w:t>Atbalstīt</w:t>
            </w:r>
            <w:bookmarkEnd w:id="3"/>
          </w:p>
        </w:tc>
      </w:tr>
      <w:tr w:rsidR="006422C8" w:rsidRPr="002D3A26" w:rsidTr="008A2E12">
        <w:tc>
          <w:tcPr>
            <w:tcW w:w="6238" w:type="dxa"/>
          </w:tcPr>
          <w:p w:rsidR="006422C8" w:rsidRPr="00685644" w:rsidRDefault="006422C8" w:rsidP="00685644">
            <w:pPr>
              <w:ind w:firstLine="567"/>
              <w:jc w:val="both"/>
            </w:pPr>
            <w:proofErr w:type="gramStart"/>
            <w:r w:rsidRPr="00685644">
              <w:rPr>
                <w:b/>
                <w:bCs/>
              </w:rPr>
              <w:t>23.pants</w:t>
            </w:r>
            <w:proofErr w:type="gramEnd"/>
            <w:r w:rsidRPr="00685644">
              <w:rPr>
                <w:b/>
                <w:bCs/>
              </w:rPr>
              <w:t>. Pārstāvība Satversmes tiesā</w:t>
            </w:r>
          </w:p>
          <w:p w:rsidR="006422C8" w:rsidRPr="00685644" w:rsidRDefault="006422C8" w:rsidP="00685644">
            <w:pPr>
              <w:ind w:firstLine="567"/>
              <w:jc w:val="both"/>
            </w:pPr>
            <w:r w:rsidRPr="00685644">
              <w:t>(1) Lietas dalībnieks - pieteikuma iesniedzējs, kā arī institūcija vai amatpersona, kas izdevusi apstrīdēto aktu, - var procesuālās darbības Satversmes tiesā veikt pats vai ar pilnvarota pārstāvja starpniecību.</w:t>
            </w:r>
          </w:p>
          <w:p w:rsidR="006422C8" w:rsidRPr="00685644" w:rsidRDefault="006422C8" w:rsidP="00685644">
            <w:pPr>
              <w:ind w:firstLine="567"/>
              <w:jc w:val="both"/>
            </w:pPr>
            <w:r w:rsidRPr="00685644">
              <w:t xml:space="preserve">(2) Ja pieteikumu iesniedz ne mazāk kā divdesmit Saeimas deputātu, viņi ir uzskatāmi par vienu procesuālo </w:t>
            </w:r>
            <w:r w:rsidRPr="00685644">
              <w:lastRenderedPageBreak/>
              <w:t>personu. Procesuālās darbības viņi var izdarīt tikai ar viena pilnvarotā pārstāvja starpniecību. Pirmais, kas parakstījis pieteikumu, uzskatāms par pilnvaroto pārstāvi, ja Saeimas deputāti nav vienojušies citādi. Šādu pilnvarojumu apliecina Saeimas Kanceleja. Gadījumos, kad pieteikumu iesniedz ne mazāk kā divdesmit Saeimas deputātu, deputāta pilnvaru izbeigšanās vienam vai vairākiem no viņiem neliedz izdarīt ar pieteikumu saistītās procesuālās darbības.</w:t>
            </w:r>
          </w:p>
          <w:p w:rsidR="006422C8" w:rsidRPr="00685644" w:rsidRDefault="006422C8" w:rsidP="00685644">
            <w:pPr>
              <w:ind w:firstLine="567"/>
              <w:jc w:val="both"/>
            </w:pPr>
            <w:r w:rsidRPr="00685644">
              <w:t>(2</w:t>
            </w:r>
            <w:r w:rsidRPr="00685644">
              <w:rPr>
                <w:vertAlign w:val="superscript"/>
              </w:rPr>
              <w:t>1</w:t>
            </w:r>
            <w:r w:rsidRPr="00685644">
              <w:t>) Ja konstitucionālo sūdzību kopīgi iesniedz vairāk nekā piecas personas, šīs personas uzskatāmas par vienu procesuālo personu. Procesuālās darbības tās var izdarīt tikai ar viena pilnvarotā pārstāvja starpniecību. Pirmais, kas parakstījis pieteikumu, uzskatāms par pilnvaroto pārstāvi, ja pieteikumā vai tam pievienotajā pilnvarojumā šīs personas nav vienojušās citādi.</w:t>
            </w:r>
          </w:p>
          <w:p w:rsidR="006422C8" w:rsidRPr="00685644" w:rsidRDefault="006422C8" w:rsidP="00685644">
            <w:pPr>
              <w:ind w:firstLine="567"/>
              <w:jc w:val="both"/>
            </w:pPr>
            <w:r w:rsidRPr="00685644">
              <w:t>(3) Ja tiek apstrīdēta tāda akta atbilstība augstāka juridiska spēka tiesību normai, ko pieņēmusi vai izdevusi institūcija vai amatpersona, kura vairs nepastāv un kurai nav tiesību pārņēmēja, lietas dalībnieka tiesības tiesas procesā ir institūcijai vai amatpersonai, kas tiesīga atzīt apstrīdēto aktu par spēku zaudējušu vai grozīt to.</w:t>
            </w:r>
          </w:p>
          <w:p w:rsidR="006422C8" w:rsidRPr="00685644" w:rsidRDefault="006422C8" w:rsidP="00685644">
            <w:pPr>
              <w:ind w:firstLine="567"/>
              <w:jc w:val="both"/>
            </w:pPr>
            <w:r w:rsidRPr="00685644">
              <w:t>(4) Lietas dalībnieki var izmantot zvērināta advokāta palīdzību. Zvērinātam advokātam tiesas sēdē ir visas lietas dalībnieka tiesības, izņemot tiesības atsaukt pieteikumu. Zvērināta advokāta pilnvaras apliecina orderis. Lietas dalībnieks var uzticēt zvērinātam advokātam arī pilnvarotā pārstāvja pienākumus. Šāds pilnvarojums apliecināms ar rakstveida pilnvaru.</w:t>
            </w:r>
          </w:p>
          <w:p w:rsidR="006422C8" w:rsidRPr="00685644" w:rsidRDefault="006422C8" w:rsidP="00685644">
            <w:pPr>
              <w:ind w:firstLine="567"/>
              <w:jc w:val="both"/>
              <w:rPr>
                <w:i/>
                <w:sz w:val="20"/>
                <w:szCs w:val="20"/>
              </w:rPr>
            </w:pPr>
            <w:r w:rsidRPr="00685644">
              <w:rPr>
                <w:i/>
                <w:sz w:val="20"/>
                <w:szCs w:val="20"/>
              </w:rPr>
              <w:t xml:space="preserve">(Ar grozījumiem, kas izdarīti ar </w:t>
            </w:r>
            <w:hyperlink r:id="rId22" w:tgtFrame="_blank" w:history="1">
              <w:r w:rsidRPr="00685644">
                <w:rPr>
                  <w:i/>
                  <w:sz w:val="20"/>
                  <w:szCs w:val="20"/>
                </w:rPr>
                <w:t>11.09.1997.</w:t>
              </w:r>
            </w:hyperlink>
            <w:r w:rsidRPr="00685644">
              <w:rPr>
                <w:i/>
                <w:sz w:val="20"/>
                <w:szCs w:val="20"/>
              </w:rPr>
              <w:t xml:space="preserve">, </w:t>
            </w:r>
            <w:hyperlink r:id="rId23" w:tgtFrame="_blank" w:history="1">
              <w:r w:rsidRPr="00685644">
                <w:rPr>
                  <w:i/>
                  <w:sz w:val="20"/>
                  <w:szCs w:val="20"/>
                </w:rPr>
                <w:t>30.11.2000.</w:t>
              </w:r>
            </w:hyperlink>
            <w:r w:rsidRPr="00685644">
              <w:rPr>
                <w:i/>
                <w:sz w:val="20"/>
                <w:szCs w:val="20"/>
              </w:rPr>
              <w:t xml:space="preserve"> un </w:t>
            </w:r>
            <w:hyperlink r:id="rId24" w:tgtFrame="_blank" w:history="1">
              <w:r w:rsidRPr="00685644">
                <w:rPr>
                  <w:i/>
                  <w:sz w:val="20"/>
                  <w:szCs w:val="20"/>
                </w:rPr>
                <w:t>10.12.2009</w:t>
              </w:r>
            </w:hyperlink>
            <w:r w:rsidRPr="00685644">
              <w:rPr>
                <w:i/>
                <w:sz w:val="20"/>
                <w:szCs w:val="20"/>
              </w:rPr>
              <w:t xml:space="preserve">. likumu, kas stājas spēkā </w:t>
            </w:r>
            <w:hyperlink r:id="rId25" w:tgtFrame="_blank" w:history="1">
              <w:r w:rsidRPr="00685644">
                <w:rPr>
                  <w:i/>
                  <w:sz w:val="20"/>
                  <w:szCs w:val="20"/>
                </w:rPr>
                <w:t>01.01.2010.</w:t>
              </w:r>
            </w:hyperlink>
            <w:r w:rsidRPr="00685644">
              <w:rPr>
                <w:i/>
                <w:sz w:val="20"/>
                <w:szCs w:val="20"/>
              </w:rPr>
              <w:t>)</w:t>
            </w:r>
          </w:p>
        </w:tc>
        <w:tc>
          <w:tcPr>
            <w:tcW w:w="546" w:type="dxa"/>
          </w:tcPr>
          <w:p w:rsidR="006422C8" w:rsidRPr="006422C8" w:rsidRDefault="006422C8" w:rsidP="006422C8">
            <w:pPr>
              <w:jc w:val="both"/>
              <w:rPr>
                <w:b/>
                <w:bCs/>
              </w:rPr>
            </w:pPr>
            <w:r w:rsidRPr="006422C8">
              <w:rPr>
                <w:b/>
                <w:bCs/>
              </w:rPr>
              <w:lastRenderedPageBreak/>
              <w:t xml:space="preserve">3. </w:t>
            </w:r>
          </w:p>
        </w:tc>
        <w:tc>
          <w:tcPr>
            <w:tcW w:w="5974" w:type="dxa"/>
          </w:tcPr>
          <w:p w:rsidR="006422C8" w:rsidRPr="00685644" w:rsidRDefault="006422C8" w:rsidP="006422C8">
            <w:pPr>
              <w:jc w:val="both"/>
            </w:pPr>
            <w:r w:rsidRPr="00685644">
              <w:t>Papildināt 23. pantu ar piekto daļu šādā redakcijā:</w:t>
            </w:r>
          </w:p>
          <w:p w:rsidR="006422C8" w:rsidRPr="00685644" w:rsidRDefault="006422C8" w:rsidP="00685644">
            <w:pPr>
              <w:ind w:firstLine="720"/>
              <w:jc w:val="both"/>
            </w:pPr>
            <w:r w:rsidRPr="00685644">
              <w:t>"(5) Valsts nodrošinātās juridiskās palīdzības sniedzēja pilnvarojumu juridiskās palīdzības sniegšanai apliecina atbildīgās valsts institūcijas izdots norīkojums par juridiskās palīdzības nodrošināšanu."</w:t>
            </w:r>
          </w:p>
          <w:p w:rsidR="006422C8" w:rsidRPr="00685644" w:rsidRDefault="006422C8" w:rsidP="00685644">
            <w:pPr>
              <w:ind w:firstLine="720"/>
              <w:jc w:val="both"/>
            </w:pPr>
          </w:p>
        </w:tc>
        <w:tc>
          <w:tcPr>
            <w:tcW w:w="2546" w:type="dxa"/>
          </w:tcPr>
          <w:p w:rsidR="006422C8" w:rsidRPr="00685644" w:rsidRDefault="006422C8" w:rsidP="00685644">
            <w:pPr>
              <w:ind w:firstLine="720"/>
              <w:jc w:val="both"/>
            </w:pPr>
          </w:p>
        </w:tc>
      </w:tr>
      <w:tr w:rsidR="006422C8" w:rsidRPr="002D3A26" w:rsidTr="008A2E12">
        <w:tc>
          <w:tcPr>
            <w:tcW w:w="6238" w:type="dxa"/>
          </w:tcPr>
          <w:p w:rsidR="006422C8" w:rsidRDefault="006422C8" w:rsidP="00685644">
            <w:pPr>
              <w:pStyle w:val="tv213"/>
              <w:spacing w:before="0" w:beforeAutospacing="0" w:after="0" w:afterAutospacing="0"/>
              <w:ind w:firstLine="567"/>
              <w:jc w:val="both"/>
            </w:pPr>
            <w:proofErr w:type="gramStart"/>
            <w:r>
              <w:rPr>
                <w:b/>
                <w:bCs/>
              </w:rPr>
              <w:t>37.pants</w:t>
            </w:r>
            <w:proofErr w:type="gramEnd"/>
            <w:r>
              <w:rPr>
                <w:b/>
                <w:bCs/>
              </w:rPr>
              <w:t>. Satversmes tiesas finansēšana</w:t>
            </w:r>
          </w:p>
          <w:p w:rsidR="006422C8" w:rsidRDefault="006422C8" w:rsidP="00685644">
            <w:pPr>
              <w:pStyle w:val="tv213"/>
              <w:spacing w:before="0" w:beforeAutospacing="0" w:after="0" w:afterAutospacing="0"/>
              <w:ind w:firstLine="567"/>
              <w:jc w:val="both"/>
            </w:pPr>
            <w:r>
              <w:t>Satversmes tiesu finansē no valsts budžeta.</w:t>
            </w:r>
          </w:p>
          <w:p w:rsidR="006422C8" w:rsidRPr="001A0D28" w:rsidRDefault="006422C8" w:rsidP="00685644">
            <w:pPr>
              <w:ind w:firstLine="567"/>
              <w:jc w:val="both"/>
              <w:rPr>
                <w:b/>
                <w:bCs/>
              </w:rPr>
            </w:pPr>
          </w:p>
        </w:tc>
        <w:tc>
          <w:tcPr>
            <w:tcW w:w="546" w:type="dxa"/>
          </w:tcPr>
          <w:p w:rsidR="006422C8" w:rsidRPr="006422C8" w:rsidRDefault="006422C8" w:rsidP="006422C8">
            <w:pPr>
              <w:jc w:val="both"/>
              <w:rPr>
                <w:b/>
                <w:bCs/>
              </w:rPr>
            </w:pPr>
            <w:r w:rsidRPr="006422C8">
              <w:rPr>
                <w:b/>
                <w:bCs/>
              </w:rPr>
              <w:t xml:space="preserve">4. </w:t>
            </w:r>
          </w:p>
        </w:tc>
        <w:tc>
          <w:tcPr>
            <w:tcW w:w="5974" w:type="dxa"/>
          </w:tcPr>
          <w:p w:rsidR="006422C8" w:rsidRPr="00685644" w:rsidRDefault="006422C8" w:rsidP="006422C8">
            <w:pPr>
              <w:jc w:val="both"/>
            </w:pPr>
            <w:r w:rsidRPr="00685644">
              <w:t xml:space="preserve">Papildināt 37. pantu ar otro teikumu šādā redakcijā: </w:t>
            </w:r>
          </w:p>
          <w:p w:rsidR="006422C8" w:rsidRDefault="006422C8" w:rsidP="00685644">
            <w:pPr>
              <w:ind w:firstLine="567"/>
              <w:jc w:val="both"/>
            </w:pPr>
            <w:r w:rsidRPr="00685644">
              <w:t>"Satversmes tiesu finansē tādā veidā, lai nodrošinātu Satversmes tiesas neatkarību un efektīvu konstitucionālās uzraudzības funkcijas veikšanu."</w:t>
            </w:r>
          </w:p>
          <w:p w:rsidR="006422C8" w:rsidRPr="00685644" w:rsidRDefault="006422C8" w:rsidP="00685644">
            <w:pPr>
              <w:ind w:firstLine="567"/>
              <w:jc w:val="both"/>
            </w:pPr>
          </w:p>
        </w:tc>
        <w:tc>
          <w:tcPr>
            <w:tcW w:w="2546" w:type="dxa"/>
          </w:tcPr>
          <w:p w:rsidR="006422C8" w:rsidRPr="00685644" w:rsidRDefault="006422C8" w:rsidP="00685644">
            <w:pPr>
              <w:ind w:firstLine="567"/>
              <w:jc w:val="both"/>
            </w:pPr>
          </w:p>
        </w:tc>
      </w:tr>
      <w:tr w:rsidR="006422C8" w:rsidRPr="002D3A26" w:rsidTr="008A2E12">
        <w:tc>
          <w:tcPr>
            <w:tcW w:w="6238" w:type="dxa"/>
          </w:tcPr>
          <w:p w:rsidR="006422C8" w:rsidRPr="00685644" w:rsidRDefault="006422C8" w:rsidP="00685644">
            <w:pPr>
              <w:ind w:firstLine="567"/>
              <w:jc w:val="both"/>
            </w:pPr>
            <w:proofErr w:type="gramStart"/>
            <w:r w:rsidRPr="00685644">
              <w:rPr>
                <w:b/>
                <w:bCs/>
              </w:rPr>
              <w:lastRenderedPageBreak/>
              <w:t>40.pants</w:t>
            </w:r>
            <w:proofErr w:type="gramEnd"/>
            <w:r w:rsidRPr="00685644">
              <w:rPr>
                <w:b/>
                <w:bCs/>
              </w:rPr>
              <w:t>. Satversmes tiesas amatpersonas un darbinieki</w:t>
            </w:r>
          </w:p>
          <w:p w:rsidR="006422C8" w:rsidRPr="00685644" w:rsidRDefault="006422C8" w:rsidP="00685644">
            <w:pPr>
              <w:ind w:firstLine="567"/>
              <w:jc w:val="both"/>
            </w:pPr>
            <w:r w:rsidRPr="00685644">
              <w:t>(1) Satversmes tiesas priekšsēdētājs budžeta ietvaros nosaka Satversmes tiesas iekšējo struktūru, amatpersonu un darbinieku amatu sarakstu, kā arī amatpersonu, kas nodrošina tiesas administratīvo darbu (lietvedības organizēšana, personālvadība, finanšu vadība, materiāltehniskais nodrošinājums u.tml.) un atbild par to.</w:t>
            </w:r>
          </w:p>
          <w:p w:rsidR="006422C8" w:rsidRPr="00685644" w:rsidRDefault="006422C8" w:rsidP="00685644">
            <w:pPr>
              <w:ind w:firstLine="567"/>
              <w:jc w:val="both"/>
            </w:pPr>
            <w:r w:rsidRPr="00685644">
              <w:t>(2) Satversmes tiesas amatpersonu un darbinieku darba attiecības regulē Darba likums. Satversmes tiesas tiesneša palīgu pieņem darbā uz Satversmes tiesas tiesneša pilnvaru laiku, bet Satversmes tiesas priekšsēdētāja padomnieku un palīgu — uz Satversmes tiesas priekšsēdētāja pilnvaru laiku.</w:t>
            </w:r>
          </w:p>
          <w:p w:rsidR="006422C8" w:rsidRPr="00685644" w:rsidRDefault="006422C8" w:rsidP="00685644">
            <w:pPr>
              <w:ind w:firstLine="567"/>
              <w:jc w:val="both"/>
            </w:pPr>
            <w:r w:rsidRPr="00685644">
              <w:t xml:space="preserve">(3) Satversmes tiesas amatpersonu un darbinieku atlīdzību (piemēram, mēnešalgu, piemaksas, sociālās garantijas) nosaka atbilstoši </w:t>
            </w:r>
            <w:hyperlink r:id="rId26" w:tgtFrame="_blank" w:history="1">
              <w:r w:rsidRPr="00685644">
                <w:t>Valsts un pašvaldību institūciju amatpersonu un darbinieku atlīdzības likumam</w:t>
              </w:r>
            </w:hyperlink>
            <w:r w:rsidRPr="00685644">
              <w:t>.</w:t>
            </w:r>
          </w:p>
          <w:p w:rsidR="006422C8" w:rsidRPr="00A81DA0" w:rsidRDefault="006422C8" w:rsidP="00A81DA0">
            <w:pPr>
              <w:ind w:firstLine="567"/>
              <w:jc w:val="both"/>
              <w:rPr>
                <w:i/>
                <w:sz w:val="20"/>
                <w:szCs w:val="20"/>
              </w:rPr>
            </w:pPr>
            <w:r w:rsidRPr="00685644">
              <w:rPr>
                <w:i/>
                <w:sz w:val="20"/>
                <w:szCs w:val="20"/>
              </w:rPr>
              <w:t xml:space="preserve">(Ar grozījumiem, kas izdarīti ar </w:t>
            </w:r>
            <w:hyperlink r:id="rId27" w:tgtFrame="_blank" w:history="1">
              <w:r w:rsidRPr="00685644">
                <w:rPr>
                  <w:i/>
                  <w:sz w:val="20"/>
                  <w:szCs w:val="20"/>
                </w:rPr>
                <w:t>19.06.2003.</w:t>
              </w:r>
            </w:hyperlink>
            <w:r w:rsidRPr="00685644">
              <w:rPr>
                <w:i/>
                <w:sz w:val="20"/>
                <w:szCs w:val="20"/>
              </w:rPr>
              <w:t xml:space="preserve">, </w:t>
            </w:r>
            <w:hyperlink r:id="rId28" w:tgtFrame="_blank" w:history="1">
              <w:r w:rsidRPr="00685644">
                <w:rPr>
                  <w:i/>
                  <w:sz w:val="20"/>
                  <w:szCs w:val="20"/>
                </w:rPr>
                <w:t>01.12.2009.</w:t>
              </w:r>
            </w:hyperlink>
            <w:r w:rsidRPr="00685644">
              <w:rPr>
                <w:i/>
                <w:sz w:val="20"/>
                <w:szCs w:val="20"/>
              </w:rPr>
              <w:t xml:space="preserve"> un </w:t>
            </w:r>
            <w:hyperlink r:id="rId29" w:tgtFrame="_blank" w:history="1">
              <w:r w:rsidRPr="00685644">
                <w:rPr>
                  <w:i/>
                  <w:sz w:val="20"/>
                  <w:szCs w:val="20"/>
                </w:rPr>
                <w:t>10.12.2009</w:t>
              </w:r>
            </w:hyperlink>
            <w:r w:rsidRPr="00685644">
              <w:rPr>
                <w:i/>
                <w:sz w:val="20"/>
                <w:szCs w:val="20"/>
              </w:rPr>
              <w:t xml:space="preserve">. likumu, kas stājas spēkā </w:t>
            </w:r>
            <w:hyperlink r:id="rId30" w:tgtFrame="_blank" w:history="1">
              <w:r w:rsidRPr="00685644">
                <w:rPr>
                  <w:i/>
                  <w:sz w:val="20"/>
                  <w:szCs w:val="20"/>
                </w:rPr>
                <w:t>01.01.2010.</w:t>
              </w:r>
            </w:hyperlink>
            <w:r w:rsidRPr="00685644">
              <w:rPr>
                <w:i/>
                <w:sz w:val="20"/>
                <w:szCs w:val="20"/>
              </w:rPr>
              <w:t>)</w:t>
            </w:r>
          </w:p>
        </w:tc>
        <w:tc>
          <w:tcPr>
            <w:tcW w:w="546" w:type="dxa"/>
          </w:tcPr>
          <w:p w:rsidR="006422C8" w:rsidRPr="006422C8" w:rsidRDefault="006422C8" w:rsidP="006422C8">
            <w:pPr>
              <w:jc w:val="both"/>
              <w:rPr>
                <w:b/>
                <w:bCs/>
              </w:rPr>
            </w:pPr>
            <w:r w:rsidRPr="006422C8">
              <w:rPr>
                <w:b/>
                <w:bCs/>
              </w:rPr>
              <w:t xml:space="preserve">5. </w:t>
            </w:r>
          </w:p>
        </w:tc>
        <w:tc>
          <w:tcPr>
            <w:tcW w:w="5974" w:type="dxa"/>
          </w:tcPr>
          <w:p w:rsidR="006422C8" w:rsidRPr="00685644" w:rsidRDefault="006422C8" w:rsidP="006422C8">
            <w:pPr>
              <w:jc w:val="both"/>
            </w:pPr>
            <w:r w:rsidRPr="00685644">
              <w:t>Papildināt 40. pantu ar 1.</w:t>
            </w:r>
            <w:r w:rsidRPr="00685644">
              <w:rPr>
                <w:vertAlign w:val="superscript"/>
              </w:rPr>
              <w:t>1 </w:t>
            </w:r>
            <w:r w:rsidRPr="00685644">
              <w:t>daļu šādā redakcijā:</w:t>
            </w:r>
          </w:p>
          <w:p w:rsidR="006422C8" w:rsidRPr="00685644" w:rsidRDefault="006422C8" w:rsidP="00685644">
            <w:pPr>
              <w:shd w:val="clear" w:color="auto" w:fill="FFFFFF"/>
              <w:ind w:firstLine="567"/>
              <w:jc w:val="both"/>
            </w:pPr>
            <w:bookmarkStart w:id="4" w:name="_Hlk18062830"/>
            <w:r w:rsidRPr="00685644">
              <w:t>"(1</w:t>
            </w:r>
            <w:r w:rsidRPr="00685644">
              <w:rPr>
                <w:vertAlign w:val="superscript"/>
              </w:rPr>
              <w:t>1</w:t>
            </w:r>
            <w:r w:rsidRPr="00685644">
              <w:t>) Satversmes tiesas administratīvo darbu organizē un nodrošina Administrācijas vadītājs. Administrācijas vadītāja padotībā ir visas uz darba līguma pamata strādājošās Satversmes tiesas amatpersonas un darbinieki."</w:t>
            </w:r>
          </w:p>
          <w:bookmarkEnd w:id="4"/>
          <w:p w:rsidR="006422C8" w:rsidRPr="00685644" w:rsidRDefault="006422C8" w:rsidP="00685644">
            <w:pPr>
              <w:ind w:firstLine="567"/>
              <w:jc w:val="both"/>
            </w:pPr>
          </w:p>
        </w:tc>
        <w:tc>
          <w:tcPr>
            <w:tcW w:w="2546" w:type="dxa"/>
          </w:tcPr>
          <w:p w:rsidR="006422C8" w:rsidRPr="00685644" w:rsidRDefault="006422C8" w:rsidP="003E777C">
            <w:pPr>
              <w:ind w:firstLine="567"/>
              <w:jc w:val="both"/>
            </w:pPr>
          </w:p>
        </w:tc>
      </w:tr>
    </w:tbl>
    <w:p w:rsidR="001A0D28" w:rsidRDefault="001A0D28"/>
    <w:p w:rsidR="00466624" w:rsidRPr="001A0D28" w:rsidRDefault="00466624" w:rsidP="001A0D28">
      <w:pPr>
        <w:ind w:firstLine="720"/>
        <w:rPr>
          <w:sz w:val="22"/>
          <w:szCs w:val="22"/>
        </w:rPr>
      </w:pPr>
    </w:p>
    <w:sectPr w:rsidR="00466624" w:rsidRPr="001A0D28" w:rsidSect="006422C8">
      <w:footerReference w:type="default" r:id="rId31"/>
      <w:pgSz w:w="16838" w:h="11906" w:orient="landscape"/>
      <w:pgMar w:top="1134" w:right="678" w:bottom="851" w:left="993" w:header="708"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B37" w:rsidRDefault="006A6B37" w:rsidP="0066476D">
      <w:r>
        <w:separator/>
      </w:r>
    </w:p>
  </w:endnote>
  <w:endnote w:type="continuationSeparator" w:id="0">
    <w:p w:rsidR="006A6B37" w:rsidRDefault="006A6B37" w:rsidP="0066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022869"/>
      <w:docPartObj>
        <w:docPartGallery w:val="Page Numbers (Bottom of Page)"/>
        <w:docPartUnique/>
      </w:docPartObj>
    </w:sdtPr>
    <w:sdtEndPr>
      <w:rPr>
        <w:noProof/>
        <w:sz w:val="20"/>
        <w:szCs w:val="20"/>
      </w:rPr>
    </w:sdtEndPr>
    <w:sdtContent>
      <w:p w:rsidR="00EF082A" w:rsidRPr="005A2AC6" w:rsidRDefault="00EF082A">
        <w:pPr>
          <w:pStyle w:val="Footer"/>
          <w:jc w:val="right"/>
          <w:rPr>
            <w:sz w:val="20"/>
            <w:szCs w:val="20"/>
          </w:rPr>
        </w:pPr>
        <w:r w:rsidRPr="005A2AC6">
          <w:rPr>
            <w:sz w:val="20"/>
            <w:szCs w:val="20"/>
          </w:rPr>
          <w:fldChar w:fldCharType="begin"/>
        </w:r>
        <w:r w:rsidRPr="005A2AC6">
          <w:rPr>
            <w:sz w:val="20"/>
            <w:szCs w:val="20"/>
          </w:rPr>
          <w:instrText xml:space="preserve"> PAGE   \* MERGEFORMAT </w:instrText>
        </w:r>
        <w:r w:rsidRPr="005A2AC6">
          <w:rPr>
            <w:sz w:val="20"/>
            <w:szCs w:val="20"/>
          </w:rPr>
          <w:fldChar w:fldCharType="separate"/>
        </w:r>
        <w:r w:rsidR="000D79AF">
          <w:rPr>
            <w:noProof/>
            <w:sz w:val="20"/>
            <w:szCs w:val="20"/>
          </w:rPr>
          <w:t>4</w:t>
        </w:r>
        <w:r w:rsidRPr="005A2AC6">
          <w:rPr>
            <w:noProof/>
            <w:sz w:val="20"/>
            <w:szCs w:val="20"/>
          </w:rPr>
          <w:fldChar w:fldCharType="end"/>
        </w:r>
      </w:p>
    </w:sdtContent>
  </w:sdt>
  <w:p w:rsidR="00EF082A" w:rsidRDefault="00EF0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B37" w:rsidRDefault="006A6B37" w:rsidP="0066476D">
      <w:r>
        <w:separator/>
      </w:r>
    </w:p>
  </w:footnote>
  <w:footnote w:type="continuationSeparator" w:id="0">
    <w:p w:rsidR="006A6B37" w:rsidRDefault="006A6B37" w:rsidP="0066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A1B"/>
    <w:multiLevelType w:val="hybridMultilevel"/>
    <w:tmpl w:val="8034ECBC"/>
    <w:lvl w:ilvl="0" w:tplc="A5902494">
      <w:start w:val="1"/>
      <w:numFmt w:val="decimal"/>
      <w:lvlText w:val="%1)"/>
      <w:lvlJc w:val="left"/>
      <w:pPr>
        <w:ind w:left="1069" w:hanging="360"/>
      </w:pPr>
      <w:rPr>
        <w:rFonts w:ascii="Times New Roman" w:hAnsi="Times New Roman"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12347EEE"/>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8571A35"/>
    <w:multiLevelType w:val="hybridMultilevel"/>
    <w:tmpl w:val="4FCCCE3E"/>
    <w:lvl w:ilvl="0" w:tplc="B066E7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9A10AE9"/>
    <w:multiLevelType w:val="hybridMultilevel"/>
    <w:tmpl w:val="F3CC924C"/>
    <w:lvl w:ilvl="0" w:tplc="D79864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A7C5FFD"/>
    <w:multiLevelType w:val="hybridMultilevel"/>
    <w:tmpl w:val="0C403DAE"/>
    <w:lvl w:ilvl="0" w:tplc="DF12559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7118778C"/>
    <w:multiLevelType w:val="hybridMultilevel"/>
    <w:tmpl w:val="621EB638"/>
    <w:lvl w:ilvl="0" w:tplc="3398A080">
      <w:start w:val="1"/>
      <w:numFmt w:val="decimal"/>
      <w:lvlText w:val="%1."/>
      <w:lvlJc w:val="left"/>
      <w:pPr>
        <w:ind w:left="1070" w:hanging="360"/>
      </w:pPr>
      <w:rPr>
        <w:b/>
      </w:rPr>
    </w:lvl>
    <w:lvl w:ilvl="1" w:tplc="04260019" w:tentative="1">
      <w:start w:val="1"/>
      <w:numFmt w:val="lowerLetter"/>
      <w:lvlText w:val="%2."/>
      <w:lvlJc w:val="left"/>
      <w:pPr>
        <w:ind w:left="2429" w:hanging="360"/>
      </w:pPr>
    </w:lvl>
    <w:lvl w:ilvl="2" w:tplc="0426001B" w:tentative="1">
      <w:start w:val="1"/>
      <w:numFmt w:val="lowerRoman"/>
      <w:lvlText w:val="%3."/>
      <w:lvlJc w:val="right"/>
      <w:pPr>
        <w:ind w:left="3149" w:hanging="180"/>
      </w:pPr>
    </w:lvl>
    <w:lvl w:ilvl="3" w:tplc="0426000F" w:tentative="1">
      <w:start w:val="1"/>
      <w:numFmt w:val="decimal"/>
      <w:lvlText w:val="%4."/>
      <w:lvlJc w:val="left"/>
      <w:pPr>
        <w:ind w:left="3869" w:hanging="360"/>
      </w:pPr>
    </w:lvl>
    <w:lvl w:ilvl="4" w:tplc="04260019" w:tentative="1">
      <w:start w:val="1"/>
      <w:numFmt w:val="lowerLetter"/>
      <w:lvlText w:val="%5."/>
      <w:lvlJc w:val="left"/>
      <w:pPr>
        <w:ind w:left="4589" w:hanging="360"/>
      </w:pPr>
    </w:lvl>
    <w:lvl w:ilvl="5" w:tplc="0426001B" w:tentative="1">
      <w:start w:val="1"/>
      <w:numFmt w:val="lowerRoman"/>
      <w:lvlText w:val="%6."/>
      <w:lvlJc w:val="right"/>
      <w:pPr>
        <w:ind w:left="5309" w:hanging="180"/>
      </w:pPr>
    </w:lvl>
    <w:lvl w:ilvl="6" w:tplc="0426000F" w:tentative="1">
      <w:start w:val="1"/>
      <w:numFmt w:val="decimal"/>
      <w:lvlText w:val="%7."/>
      <w:lvlJc w:val="left"/>
      <w:pPr>
        <w:ind w:left="6029" w:hanging="360"/>
      </w:pPr>
    </w:lvl>
    <w:lvl w:ilvl="7" w:tplc="04260019" w:tentative="1">
      <w:start w:val="1"/>
      <w:numFmt w:val="lowerLetter"/>
      <w:lvlText w:val="%8."/>
      <w:lvlJc w:val="left"/>
      <w:pPr>
        <w:ind w:left="6749" w:hanging="360"/>
      </w:pPr>
    </w:lvl>
    <w:lvl w:ilvl="8" w:tplc="0426001B" w:tentative="1">
      <w:start w:val="1"/>
      <w:numFmt w:val="lowerRoman"/>
      <w:lvlText w:val="%9."/>
      <w:lvlJc w:val="right"/>
      <w:pPr>
        <w:ind w:left="7469" w:hanging="1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0"/>
    <w:rsid w:val="0001059F"/>
    <w:rsid w:val="00012009"/>
    <w:rsid w:val="00030379"/>
    <w:rsid w:val="00043AA5"/>
    <w:rsid w:val="00061F3B"/>
    <w:rsid w:val="000678A8"/>
    <w:rsid w:val="000D79AF"/>
    <w:rsid w:val="000E25D3"/>
    <w:rsid w:val="0010571F"/>
    <w:rsid w:val="00136A74"/>
    <w:rsid w:val="00175F4A"/>
    <w:rsid w:val="001A0D28"/>
    <w:rsid w:val="001E0250"/>
    <w:rsid w:val="001F38E9"/>
    <w:rsid w:val="002012BD"/>
    <w:rsid w:val="00205487"/>
    <w:rsid w:val="002363CD"/>
    <w:rsid w:val="00244B75"/>
    <w:rsid w:val="0027144E"/>
    <w:rsid w:val="002C7319"/>
    <w:rsid w:val="002D3A26"/>
    <w:rsid w:val="002F1E04"/>
    <w:rsid w:val="003431F9"/>
    <w:rsid w:val="00345416"/>
    <w:rsid w:val="003531E8"/>
    <w:rsid w:val="003565D8"/>
    <w:rsid w:val="00372CF0"/>
    <w:rsid w:val="00374D97"/>
    <w:rsid w:val="003A4AB7"/>
    <w:rsid w:val="003E777C"/>
    <w:rsid w:val="003F68A9"/>
    <w:rsid w:val="0041518E"/>
    <w:rsid w:val="00440147"/>
    <w:rsid w:val="00441443"/>
    <w:rsid w:val="0044401D"/>
    <w:rsid w:val="00460096"/>
    <w:rsid w:val="00466624"/>
    <w:rsid w:val="00484451"/>
    <w:rsid w:val="00487840"/>
    <w:rsid w:val="004A7972"/>
    <w:rsid w:val="004C11C1"/>
    <w:rsid w:val="004C5141"/>
    <w:rsid w:val="004F37F9"/>
    <w:rsid w:val="0051154F"/>
    <w:rsid w:val="00541967"/>
    <w:rsid w:val="00555711"/>
    <w:rsid w:val="005563B4"/>
    <w:rsid w:val="00566A31"/>
    <w:rsid w:val="005939D3"/>
    <w:rsid w:val="00594A7F"/>
    <w:rsid w:val="005A2AC6"/>
    <w:rsid w:val="005C4212"/>
    <w:rsid w:val="006246C7"/>
    <w:rsid w:val="00627073"/>
    <w:rsid w:val="006422C8"/>
    <w:rsid w:val="00654AA7"/>
    <w:rsid w:val="0065772C"/>
    <w:rsid w:val="0066476D"/>
    <w:rsid w:val="0067447B"/>
    <w:rsid w:val="0067449F"/>
    <w:rsid w:val="00683839"/>
    <w:rsid w:val="00684F59"/>
    <w:rsid w:val="00685644"/>
    <w:rsid w:val="00690C8F"/>
    <w:rsid w:val="00697F9E"/>
    <w:rsid w:val="006A6B37"/>
    <w:rsid w:val="006B0BAD"/>
    <w:rsid w:val="006C0B04"/>
    <w:rsid w:val="00705770"/>
    <w:rsid w:val="007169A0"/>
    <w:rsid w:val="00716C1F"/>
    <w:rsid w:val="00727C6F"/>
    <w:rsid w:val="00730008"/>
    <w:rsid w:val="007515B3"/>
    <w:rsid w:val="00775C49"/>
    <w:rsid w:val="007866A1"/>
    <w:rsid w:val="0079683D"/>
    <w:rsid w:val="007B4F40"/>
    <w:rsid w:val="007D38F0"/>
    <w:rsid w:val="007F24AF"/>
    <w:rsid w:val="007F2A26"/>
    <w:rsid w:val="007F3568"/>
    <w:rsid w:val="0083754E"/>
    <w:rsid w:val="008971EA"/>
    <w:rsid w:val="008A2E12"/>
    <w:rsid w:val="008C4D94"/>
    <w:rsid w:val="008E0928"/>
    <w:rsid w:val="008E42BF"/>
    <w:rsid w:val="008E45A3"/>
    <w:rsid w:val="008E4B26"/>
    <w:rsid w:val="008F4341"/>
    <w:rsid w:val="00922484"/>
    <w:rsid w:val="0094731D"/>
    <w:rsid w:val="00956521"/>
    <w:rsid w:val="009612BA"/>
    <w:rsid w:val="00981FCF"/>
    <w:rsid w:val="009B606D"/>
    <w:rsid w:val="009B69F8"/>
    <w:rsid w:val="009C038F"/>
    <w:rsid w:val="009F1C88"/>
    <w:rsid w:val="00A1626C"/>
    <w:rsid w:val="00A17A9E"/>
    <w:rsid w:val="00A2287B"/>
    <w:rsid w:val="00A23149"/>
    <w:rsid w:val="00A81DA0"/>
    <w:rsid w:val="00A971A0"/>
    <w:rsid w:val="00AA1053"/>
    <w:rsid w:val="00AA1752"/>
    <w:rsid w:val="00AC2CC9"/>
    <w:rsid w:val="00AD4F59"/>
    <w:rsid w:val="00B03A71"/>
    <w:rsid w:val="00B4659E"/>
    <w:rsid w:val="00B572C6"/>
    <w:rsid w:val="00B639CE"/>
    <w:rsid w:val="00B713D6"/>
    <w:rsid w:val="00B834FE"/>
    <w:rsid w:val="00B967DA"/>
    <w:rsid w:val="00BA5FBF"/>
    <w:rsid w:val="00BC48BE"/>
    <w:rsid w:val="00BC5554"/>
    <w:rsid w:val="00BD470B"/>
    <w:rsid w:val="00BD7D94"/>
    <w:rsid w:val="00BE49CB"/>
    <w:rsid w:val="00C2552D"/>
    <w:rsid w:val="00C8194D"/>
    <w:rsid w:val="00CA7645"/>
    <w:rsid w:val="00CB15D6"/>
    <w:rsid w:val="00CE21A6"/>
    <w:rsid w:val="00CE7B6A"/>
    <w:rsid w:val="00D069BE"/>
    <w:rsid w:val="00D275E8"/>
    <w:rsid w:val="00D511ED"/>
    <w:rsid w:val="00D57C6C"/>
    <w:rsid w:val="00D775FB"/>
    <w:rsid w:val="00D82B95"/>
    <w:rsid w:val="00DA3926"/>
    <w:rsid w:val="00DB73AE"/>
    <w:rsid w:val="00DD6698"/>
    <w:rsid w:val="00DE13E9"/>
    <w:rsid w:val="00DF07F5"/>
    <w:rsid w:val="00E03C71"/>
    <w:rsid w:val="00E03C8C"/>
    <w:rsid w:val="00E14912"/>
    <w:rsid w:val="00E14C1F"/>
    <w:rsid w:val="00E23CDC"/>
    <w:rsid w:val="00E60297"/>
    <w:rsid w:val="00E62E25"/>
    <w:rsid w:val="00ED3ED4"/>
    <w:rsid w:val="00EF082A"/>
    <w:rsid w:val="00EF4E06"/>
    <w:rsid w:val="00F970D8"/>
    <w:rsid w:val="00FD2A6F"/>
    <w:rsid w:val="00FF6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DD0BBB7-D526-4662-9B75-E21B7A43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9A0"/>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169A0"/>
    <w:pPr>
      <w:spacing w:before="100" w:beforeAutospacing="1" w:after="100" w:afterAutospacing="1"/>
    </w:pPr>
  </w:style>
  <w:style w:type="paragraph" w:customStyle="1" w:styleId="labojumupamats">
    <w:name w:val="labojumu_pamats"/>
    <w:basedOn w:val="Normal"/>
    <w:rsid w:val="007169A0"/>
    <w:pPr>
      <w:spacing w:before="100" w:beforeAutospacing="1" w:after="100" w:afterAutospacing="1"/>
    </w:pPr>
  </w:style>
  <w:style w:type="character" w:styleId="Hyperlink">
    <w:name w:val="Hyperlink"/>
    <w:basedOn w:val="DefaultParagraphFont"/>
    <w:uiPriority w:val="99"/>
    <w:semiHidden/>
    <w:unhideWhenUsed/>
    <w:rsid w:val="007169A0"/>
    <w:rPr>
      <w:color w:val="0000FF"/>
      <w:u w:val="single"/>
    </w:rPr>
  </w:style>
  <w:style w:type="paragraph" w:styleId="NormalWeb">
    <w:name w:val="Normal (Web)"/>
    <w:basedOn w:val="Normal"/>
    <w:uiPriority w:val="99"/>
    <w:unhideWhenUsed/>
    <w:rsid w:val="00A2287B"/>
    <w:pPr>
      <w:spacing w:before="100" w:beforeAutospacing="1" w:after="100" w:afterAutospacing="1"/>
    </w:pPr>
  </w:style>
  <w:style w:type="character" w:styleId="PageNumber">
    <w:name w:val="page number"/>
    <w:basedOn w:val="DefaultParagraphFont"/>
    <w:rsid w:val="00A2287B"/>
  </w:style>
  <w:style w:type="character" w:customStyle="1" w:styleId="fontsize2">
    <w:name w:val="fontsize2"/>
    <w:basedOn w:val="DefaultParagraphFont"/>
    <w:rsid w:val="00A2287B"/>
  </w:style>
  <w:style w:type="paragraph" w:styleId="Header">
    <w:name w:val="header"/>
    <w:basedOn w:val="Normal"/>
    <w:link w:val="HeaderChar"/>
    <w:uiPriority w:val="99"/>
    <w:unhideWhenUsed/>
    <w:rsid w:val="0066476D"/>
    <w:pPr>
      <w:tabs>
        <w:tab w:val="center" w:pos="4153"/>
        <w:tab w:val="right" w:pos="8306"/>
      </w:tabs>
    </w:pPr>
  </w:style>
  <w:style w:type="character" w:customStyle="1" w:styleId="HeaderChar">
    <w:name w:val="Header Char"/>
    <w:basedOn w:val="DefaultParagraphFont"/>
    <w:link w:val="Header"/>
    <w:uiPriority w:val="99"/>
    <w:rsid w:val="0066476D"/>
    <w:rPr>
      <w:rFonts w:eastAsia="Times New Roman" w:cs="Times New Roman"/>
      <w:szCs w:val="24"/>
      <w:lang w:eastAsia="lv-LV"/>
    </w:rPr>
  </w:style>
  <w:style w:type="paragraph" w:styleId="Footer">
    <w:name w:val="footer"/>
    <w:basedOn w:val="Normal"/>
    <w:link w:val="FooterChar"/>
    <w:uiPriority w:val="99"/>
    <w:unhideWhenUsed/>
    <w:rsid w:val="0066476D"/>
    <w:pPr>
      <w:tabs>
        <w:tab w:val="center" w:pos="4153"/>
        <w:tab w:val="right" w:pos="8306"/>
      </w:tabs>
    </w:pPr>
  </w:style>
  <w:style w:type="character" w:customStyle="1" w:styleId="FooterChar">
    <w:name w:val="Footer Char"/>
    <w:basedOn w:val="DefaultParagraphFont"/>
    <w:link w:val="Footer"/>
    <w:uiPriority w:val="99"/>
    <w:rsid w:val="0066476D"/>
    <w:rPr>
      <w:rFonts w:eastAsia="Times New Roman" w:cs="Times New Roman"/>
      <w:szCs w:val="24"/>
      <w:lang w:eastAsia="lv-LV"/>
    </w:rPr>
  </w:style>
  <w:style w:type="paragraph" w:styleId="BalloonText">
    <w:name w:val="Balloon Text"/>
    <w:basedOn w:val="Normal"/>
    <w:link w:val="BalloonTextChar"/>
    <w:uiPriority w:val="99"/>
    <w:semiHidden/>
    <w:unhideWhenUsed/>
    <w:rsid w:val="00657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72C"/>
    <w:rPr>
      <w:rFonts w:ascii="Segoe UI" w:eastAsia="Times New Roman" w:hAnsi="Segoe UI" w:cs="Segoe UI"/>
      <w:sz w:val="18"/>
      <w:szCs w:val="18"/>
      <w:lang w:eastAsia="lv-LV"/>
    </w:rPr>
  </w:style>
  <w:style w:type="paragraph" w:styleId="ListParagraph">
    <w:name w:val="List Paragraph"/>
    <w:basedOn w:val="Normal"/>
    <w:uiPriority w:val="34"/>
    <w:qFormat/>
    <w:rsid w:val="00956521"/>
    <w:pPr>
      <w:ind w:left="720"/>
      <w:contextualSpacing/>
    </w:pPr>
    <w:rPr>
      <w:lang w:val="en-GB" w:eastAsia="en-US"/>
    </w:rPr>
  </w:style>
  <w:style w:type="paragraph" w:customStyle="1" w:styleId="tv2132">
    <w:name w:val="tv2132"/>
    <w:basedOn w:val="Normal"/>
    <w:rsid w:val="0044401D"/>
    <w:pPr>
      <w:spacing w:line="360" w:lineRule="auto"/>
      <w:ind w:firstLine="300"/>
    </w:pPr>
    <w:rPr>
      <w:color w:val="414142"/>
      <w:sz w:val="20"/>
      <w:szCs w:val="20"/>
    </w:rPr>
  </w:style>
  <w:style w:type="paragraph" w:styleId="FootnoteText">
    <w:name w:val="footnote text"/>
    <w:basedOn w:val="Normal"/>
    <w:link w:val="FootnoteTextChar"/>
    <w:uiPriority w:val="99"/>
    <w:semiHidden/>
    <w:unhideWhenUsed/>
    <w:rsid w:val="008971EA"/>
    <w:rPr>
      <w:sz w:val="20"/>
      <w:szCs w:val="20"/>
    </w:rPr>
  </w:style>
  <w:style w:type="character" w:customStyle="1" w:styleId="FootnoteTextChar">
    <w:name w:val="Footnote Text Char"/>
    <w:basedOn w:val="DefaultParagraphFont"/>
    <w:link w:val="FootnoteText"/>
    <w:uiPriority w:val="99"/>
    <w:semiHidden/>
    <w:rsid w:val="008971EA"/>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8971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510">
      <w:bodyDiv w:val="1"/>
      <w:marLeft w:val="0"/>
      <w:marRight w:val="0"/>
      <w:marTop w:val="0"/>
      <w:marBottom w:val="0"/>
      <w:divBdr>
        <w:top w:val="none" w:sz="0" w:space="0" w:color="auto"/>
        <w:left w:val="none" w:sz="0" w:space="0" w:color="auto"/>
        <w:bottom w:val="none" w:sz="0" w:space="0" w:color="auto"/>
        <w:right w:val="none" w:sz="0" w:space="0" w:color="auto"/>
      </w:divBdr>
    </w:div>
    <w:div w:id="32123548">
      <w:bodyDiv w:val="1"/>
      <w:marLeft w:val="0"/>
      <w:marRight w:val="0"/>
      <w:marTop w:val="0"/>
      <w:marBottom w:val="0"/>
      <w:divBdr>
        <w:top w:val="none" w:sz="0" w:space="0" w:color="auto"/>
        <w:left w:val="none" w:sz="0" w:space="0" w:color="auto"/>
        <w:bottom w:val="none" w:sz="0" w:space="0" w:color="auto"/>
        <w:right w:val="none" w:sz="0" w:space="0" w:color="auto"/>
      </w:divBdr>
    </w:div>
    <w:div w:id="99230554">
      <w:bodyDiv w:val="1"/>
      <w:marLeft w:val="0"/>
      <w:marRight w:val="0"/>
      <w:marTop w:val="0"/>
      <w:marBottom w:val="0"/>
      <w:divBdr>
        <w:top w:val="none" w:sz="0" w:space="0" w:color="auto"/>
        <w:left w:val="none" w:sz="0" w:space="0" w:color="auto"/>
        <w:bottom w:val="none" w:sz="0" w:space="0" w:color="auto"/>
        <w:right w:val="none" w:sz="0" w:space="0" w:color="auto"/>
      </w:divBdr>
    </w:div>
    <w:div w:id="115950578">
      <w:bodyDiv w:val="1"/>
      <w:marLeft w:val="0"/>
      <w:marRight w:val="0"/>
      <w:marTop w:val="0"/>
      <w:marBottom w:val="0"/>
      <w:divBdr>
        <w:top w:val="none" w:sz="0" w:space="0" w:color="auto"/>
        <w:left w:val="none" w:sz="0" w:space="0" w:color="auto"/>
        <w:bottom w:val="none" w:sz="0" w:space="0" w:color="auto"/>
        <w:right w:val="none" w:sz="0" w:space="0" w:color="auto"/>
      </w:divBdr>
    </w:div>
    <w:div w:id="147479229">
      <w:bodyDiv w:val="1"/>
      <w:marLeft w:val="0"/>
      <w:marRight w:val="0"/>
      <w:marTop w:val="0"/>
      <w:marBottom w:val="0"/>
      <w:divBdr>
        <w:top w:val="none" w:sz="0" w:space="0" w:color="auto"/>
        <w:left w:val="none" w:sz="0" w:space="0" w:color="auto"/>
        <w:bottom w:val="none" w:sz="0" w:space="0" w:color="auto"/>
        <w:right w:val="none" w:sz="0" w:space="0" w:color="auto"/>
      </w:divBdr>
    </w:div>
    <w:div w:id="157694027">
      <w:bodyDiv w:val="1"/>
      <w:marLeft w:val="0"/>
      <w:marRight w:val="0"/>
      <w:marTop w:val="0"/>
      <w:marBottom w:val="0"/>
      <w:divBdr>
        <w:top w:val="none" w:sz="0" w:space="0" w:color="auto"/>
        <w:left w:val="none" w:sz="0" w:space="0" w:color="auto"/>
        <w:bottom w:val="none" w:sz="0" w:space="0" w:color="auto"/>
        <w:right w:val="none" w:sz="0" w:space="0" w:color="auto"/>
      </w:divBdr>
    </w:div>
    <w:div w:id="215052643">
      <w:bodyDiv w:val="1"/>
      <w:marLeft w:val="0"/>
      <w:marRight w:val="0"/>
      <w:marTop w:val="0"/>
      <w:marBottom w:val="0"/>
      <w:divBdr>
        <w:top w:val="none" w:sz="0" w:space="0" w:color="auto"/>
        <w:left w:val="none" w:sz="0" w:space="0" w:color="auto"/>
        <w:bottom w:val="none" w:sz="0" w:space="0" w:color="auto"/>
        <w:right w:val="none" w:sz="0" w:space="0" w:color="auto"/>
      </w:divBdr>
    </w:div>
    <w:div w:id="223418283">
      <w:bodyDiv w:val="1"/>
      <w:marLeft w:val="0"/>
      <w:marRight w:val="0"/>
      <w:marTop w:val="0"/>
      <w:marBottom w:val="0"/>
      <w:divBdr>
        <w:top w:val="none" w:sz="0" w:space="0" w:color="auto"/>
        <w:left w:val="none" w:sz="0" w:space="0" w:color="auto"/>
        <w:bottom w:val="none" w:sz="0" w:space="0" w:color="auto"/>
        <w:right w:val="none" w:sz="0" w:space="0" w:color="auto"/>
      </w:divBdr>
    </w:div>
    <w:div w:id="254020467">
      <w:bodyDiv w:val="1"/>
      <w:marLeft w:val="0"/>
      <w:marRight w:val="0"/>
      <w:marTop w:val="0"/>
      <w:marBottom w:val="0"/>
      <w:divBdr>
        <w:top w:val="none" w:sz="0" w:space="0" w:color="auto"/>
        <w:left w:val="none" w:sz="0" w:space="0" w:color="auto"/>
        <w:bottom w:val="none" w:sz="0" w:space="0" w:color="auto"/>
        <w:right w:val="none" w:sz="0" w:space="0" w:color="auto"/>
      </w:divBdr>
    </w:div>
    <w:div w:id="288364198">
      <w:bodyDiv w:val="1"/>
      <w:marLeft w:val="0"/>
      <w:marRight w:val="0"/>
      <w:marTop w:val="0"/>
      <w:marBottom w:val="0"/>
      <w:divBdr>
        <w:top w:val="none" w:sz="0" w:space="0" w:color="auto"/>
        <w:left w:val="none" w:sz="0" w:space="0" w:color="auto"/>
        <w:bottom w:val="none" w:sz="0" w:space="0" w:color="auto"/>
        <w:right w:val="none" w:sz="0" w:space="0" w:color="auto"/>
      </w:divBdr>
    </w:div>
    <w:div w:id="312682181">
      <w:bodyDiv w:val="1"/>
      <w:marLeft w:val="0"/>
      <w:marRight w:val="0"/>
      <w:marTop w:val="0"/>
      <w:marBottom w:val="0"/>
      <w:divBdr>
        <w:top w:val="none" w:sz="0" w:space="0" w:color="auto"/>
        <w:left w:val="none" w:sz="0" w:space="0" w:color="auto"/>
        <w:bottom w:val="none" w:sz="0" w:space="0" w:color="auto"/>
        <w:right w:val="none" w:sz="0" w:space="0" w:color="auto"/>
      </w:divBdr>
    </w:div>
    <w:div w:id="329019725">
      <w:bodyDiv w:val="1"/>
      <w:marLeft w:val="0"/>
      <w:marRight w:val="0"/>
      <w:marTop w:val="0"/>
      <w:marBottom w:val="0"/>
      <w:divBdr>
        <w:top w:val="none" w:sz="0" w:space="0" w:color="auto"/>
        <w:left w:val="none" w:sz="0" w:space="0" w:color="auto"/>
        <w:bottom w:val="none" w:sz="0" w:space="0" w:color="auto"/>
        <w:right w:val="none" w:sz="0" w:space="0" w:color="auto"/>
      </w:divBdr>
    </w:div>
    <w:div w:id="368074570">
      <w:bodyDiv w:val="1"/>
      <w:marLeft w:val="0"/>
      <w:marRight w:val="0"/>
      <w:marTop w:val="0"/>
      <w:marBottom w:val="0"/>
      <w:divBdr>
        <w:top w:val="none" w:sz="0" w:space="0" w:color="auto"/>
        <w:left w:val="none" w:sz="0" w:space="0" w:color="auto"/>
        <w:bottom w:val="none" w:sz="0" w:space="0" w:color="auto"/>
        <w:right w:val="none" w:sz="0" w:space="0" w:color="auto"/>
      </w:divBdr>
    </w:div>
    <w:div w:id="393160624">
      <w:bodyDiv w:val="1"/>
      <w:marLeft w:val="0"/>
      <w:marRight w:val="0"/>
      <w:marTop w:val="0"/>
      <w:marBottom w:val="0"/>
      <w:divBdr>
        <w:top w:val="none" w:sz="0" w:space="0" w:color="auto"/>
        <w:left w:val="none" w:sz="0" w:space="0" w:color="auto"/>
        <w:bottom w:val="none" w:sz="0" w:space="0" w:color="auto"/>
        <w:right w:val="none" w:sz="0" w:space="0" w:color="auto"/>
      </w:divBdr>
    </w:div>
    <w:div w:id="456459648">
      <w:bodyDiv w:val="1"/>
      <w:marLeft w:val="0"/>
      <w:marRight w:val="0"/>
      <w:marTop w:val="0"/>
      <w:marBottom w:val="0"/>
      <w:divBdr>
        <w:top w:val="none" w:sz="0" w:space="0" w:color="auto"/>
        <w:left w:val="none" w:sz="0" w:space="0" w:color="auto"/>
        <w:bottom w:val="none" w:sz="0" w:space="0" w:color="auto"/>
        <w:right w:val="none" w:sz="0" w:space="0" w:color="auto"/>
      </w:divBdr>
    </w:div>
    <w:div w:id="505173010">
      <w:bodyDiv w:val="1"/>
      <w:marLeft w:val="0"/>
      <w:marRight w:val="0"/>
      <w:marTop w:val="0"/>
      <w:marBottom w:val="0"/>
      <w:divBdr>
        <w:top w:val="none" w:sz="0" w:space="0" w:color="auto"/>
        <w:left w:val="none" w:sz="0" w:space="0" w:color="auto"/>
        <w:bottom w:val="none" w:sz="0" w:space="0" w:color="auto"/>
        <w:right w:val="none" w:sz="0" w:space="0" w:color="auto"/>
      </w:divBdr>
    </w:div>
    <w:div w:id="517084823">
      <w:bodyDiv w:val="1"/>
      <w:marLeft w:val="0"/>
      <w:marRight w:val="0"/>
      <w:marTop w:val="0"/>
      <w:marBottom w:val="0"/>
      <w:divBdr>
        <w:top w:val="none" w:sz="0" w:space="0" w:color="auto"/>
        <w:left w:val="none" w:sz="0" w:space="0" w:color="auto"/>
        <w:bottom w:val="none" w:sz="0" w:space="0" w:color="auto"/>
        <w:right w:val="none" w:sz="0" w:space="0" w:color="auto"/>
      </w:divBdr>
    </w:div>
    <w:div w:id="522206733">
      <w:bodyDiv w:val="1"/>
      <w:marLeft w:val="0"/>
      <w:marRight w:val="0"/>
      <w:marTop w:val="0"/>
      <w:marBottom w:val="0"/>
      <w:divBdr>
        <w:top w:val="none" w:sz="0" w:space="0" w:color="auto"/>
        <w:left w:val="none" w:sz="0" w:space="0" w:color="auto"/>
        <w:bottom w:val="none" w:sz="0" w:space="0" w:color="auto"/>
        <w:right w:val="none" w:sz="0" w:space="0" w:color="auto"/>
      </w:divBdr>
    </w:div>
    <w:div w:id="526336494">
      <w:bodyDiv w:val="1"/>
      <w:marLeft w:val="0"/>
      <w:marRight w:val="0"/>
      <w:marTop w:val="0"/>
      <w:marBottom w:val="0"/>
      <w:divBdr>
        <w:top w:val="none" w:sz="0" w:space="0" w:color="auto"/>
        <w:left w:val="none" w:sz="0" w:space="0" w:color="auto"/>
        <w:bottom w:val="none" w:sz="0" w:space="0" w:color="auto"/>
        <w:right w:val="none" w:sz="0" w:space="0" w:color="auto"/>
      </w:divBdr>
    </w:div>
    <w:div w:id="544098659">
      <w:bodyDiv w:val="1"/>
      <w:marLeft w:val="0"/>
      <w:marRight w:val="0"/>
      <w:marTop w:val="0"/>
      <w:marBottom w:val="0"/>
      <w:divBdr>
        <w:top w:val="none" w:sz="0" w:space="0" w:color="auto"/>
        <w:left w:val="none" w:sz="0" w:space="0" w:color="auto"/>
        <w:bottom w:val="none" w:sz="0" w:space="0" w:color="auto"/>
        <w:right w:val="none" w:sz="0" w:space="0" w:color="auto"/>
      </w:divBdr>
    </w:div>
    <w:div w:id="577062743">
      <w:bodyDiv w:val="1"/>
      <w:marLeft w:val="0"/>
      <w:marRight w:val="0"/>
      <w:marTop w:val="0"/>
      <w:marBottom w:val="0"/>
      <w:divBdr>
        <w:top w:val="none" w:sz="0" w:space="0" w:color="auto"/>
        <w:left w:val="none" w:sz="0" w:space="0" w:color="auto"/>
        <w:bottom w:val="none" w:sz="0" w:space="0" w:color="auto"/>
        <w:right w:val="none" w:sz="0" w:space="0" w:color="auto"/>
      </w:divBdr>
    </w:div>
    <w:div w:id="607348131">
      <w:bodyDiv w:val="1"/>
      <w:marLeft w:val="0"/>
      <w:marRight w:val="0"/>
      <w:marTop w:val="0"/>
      <w:marBottom w:val="0"/>
      <w:divBdr>
        <w:top w:val="none" w:sz="0" w:space="0" w:color="auto"/>
        <w:left w:val="none" w:sz="0" w:space="0" w:color="auto"/>
        <w:bottom w:val="none" w:sz="0" w:space="0" w:color="auto"/>
        <w:right w:val="none" w:sz="0" w:space="0" w:color="auto"/>
      </w:divBdr>
      <w:divsChild>
        <w:div w:id="54011663">
          <w:marLeft w:val="0"/>
          <w:marRight w:val="0"/>
          <w:marTop w:val="0"/>
          <w:marBottom w:val="0"/>
          <w:divBdr>
            <w:top w:val="none" w:sz="0" w:space="0" w:color="auto"/>
            <w:left w:val="none" w:sz="0" w:space="0" w:color="auto"/>
            <w:bottom w:val="none" w:sz="0" w:space="0" w:color="auto"/>
            <w:right w:val="none" w:sz="0" w:space="0" w:color="auto"/>
          </w:divBdr>
        </w:div>
        <w:div w:id="2141261741">
          <w:marLeft w:val="0"/>
          <w:marRight w:val="0"/>
          <w:marTop w:val="0"/>
          <w:marBottom w:val="0"/>
          <w:divBdr>
            <w:top w:val="none" w:sz="0" w:space="0" w:color="auto"/>
            <w:left w:val="none" w:sz="0" w:space="0" w:color="auto"/>
            <w:bottom w:val="none" w:sz="0" w:space="0" w:color="auto"/>
            <w:right w:val="none" w:sz="0" w:space="0" w:color="auto"/>
          </w:divBdr>
        </w:div>
        <w:div w:id="1925413295">
          <w:marLeft w:val="0"/>
          <w:marRight w:val="0"/>
          <w:marTop w:val="0"/>
          <w:marBottom w:val="0"/>
          <w:divBdr>
            <w:top w:val="none" w:sz="0" w:space="0" w:color="auto"/>
            <w:left w:val="none" w:sz="0" w:space="0" w:color="auto"/>
            <w:bottom w:val="none" w:sz="0" w:space="0" w:color="auto"/>
            <w:right w:val="none" w:sz="0" w:space="0" w:color="auto"/>
          </w:divBdr>
        </w:div>
        <w:div w:id="1345207099">
          <w:marLeft w:val="0"/>
          <w:marRight w:val="0"/>
          <w:marTop w:val="0"/>
          <w:marBottom w:val="0"/>
          <w:divBdr>
            <w:top w:val="none" w:sz="0" w:space="0" w:color="auto"/>
            <w:left w:val="none" w:sz="0" w:space="0" w:color="auto"/>
            <w:bottom w:val="none" w:sz="0" w:space="0" w:color="auto"/>
            <w:right w:val="none" w:sz="0" w:space="0" w:color="auto"/>
          </w:divBdr>
        </w:div>
        <w:div w:id="1595162045">
          <w:marLeft w:val="0"/>
          <w:marRight w:val="0"/>
          <w:marTop w:val="0"/>
          <w:marBottom w:val="0"/>
          <w:divBdr>
            <w:top w:val="none" w:sz="0" w:space="0" w:color="auto"/>
            <w:left w:val="none" w:sz="0" w:space="0" w:color="auto"/>
            <w:bottom w:val="none" w:sz="0" w:space="0" w:color="auto"/>
            <w:right w:val="none" w:sz="0" w:space="0" w:color="auto"/>
          </w:divBdr>
        </w:div>
        <w:div w:id="376050471">
          <w:marLeft w:val="0"/>
          <w:marRight w:val="0"/>
          <w:marTop w:val="0"/>
          <w:marBottom w:val="0"/>
          <w:divBdr>
            <w:top w:val="none" w:sz="0" w:space="0" w:color="auto"/>
            <w:left w:val="none" w:sz="0" w:space="0" w:color="auto"/>
            <w:bottom w:val="none" w:sz="0" w:space="0" w:color="auto"/>
            <w:right w:val="none" w:sz="0" w:space="0" w:color="auto"/>
          </w:divBdr>
        </w:div>
        <w:div w:id="1579243143">
          <w:marLeft w:val="0"/>
          <w:marRight w:val="0"/>
          <w:marTop w:val="0"/>
          <w:marBottom w:val="0"/>
          <w:divBdr>
            <w:top w:val="none" w:sz="0" w:space="0" w:color="auto"/>
            <w:left w:val="none" w:sz="0" w:space="0" w:color="auto"/>
            <w:bottom w:val="none" w:sz="0" w:space="0" w:color="auto"/>
            <w:right w:val="none" w:sz="0" w:space="0" w:color="auto"/>
          </w:divBdr>
        </w:div>
      </w:divsChild>
    </w:div>
    <w:div w:id="633754141">
      <w:bodyDiv w:val="1"/>
      <w:marLeft w:val="0"/>
      <w:marRight w:val="0"/>
      <w:marTop w:val="0"/>
      <w:marBottom w:val="0"/>
      <w:divBdr>
        <w:top w:val="none" w:sz="0" w:space="0" w:color="auto"/>
        <w:left w:val="none" w:sz="0" w:space="0" w:color="auto"/>
        <w:bottom w:val="none" w:sz="0" w:space="0" w:color="auto"/>
        <w:right w:val="none" w:sz="0" w:space="0" w:color="auto"/>
      </w:divBdr>
    </w:div>
    <w:div w:id="646475796">
      <w:bodyDiv w:val="1"/>
      <w:marLeft w:val="0"/>
      <w:marRight w:val="0"/>
      <w:marTop w:val="0"/>
      <w:marBottom w:val="0"/>
      <w:divBdr>
        <w:top w:val="none" w:sz="0" w:space="0" w:color="auto"/>
        <w:left w:val="none" w:sz="0" w:space="0" w:color="auto"/>
        <w:bottom w:val="none" w:sz="0" w:space="0" w:color="auto"/>
        <w:right w:val="none" w:sz="0" w:space="0" w:color="auto"/>
      </w:divBdr>
    </w:div>
    <w:div w:id="689723161">
      <w:bodyDiv w:val="1"/>
      <w:marLeft w:val="0"/>
      <w:marRight w:val="0"/>
      <w:marTop w:val="0"/>
      <w:marBottom w:val="0"/>
      <w:divBdr>
        <w:top w:val="none" w:sz="0" w:space="0" w:color="auto"/>
        <w:left w:val="none" w:sz="0" w:space="0" w:color="auto"/>
        <w:bottom w:val="none" w:sz="0" w:space="0" w:color="auto"/>
        <w:right w:val="none" w:sz="0" w:space="0" w:color="auto"/>
      </w:divBdr>
    </w:div>
    <w:div w:id="714425530">
      <w:bodyDiv w:val="1"/>
      <w:marLeft w:val="0"/>
      <w:marRight w:val="0"/>
      <w:marTop w:val="0"/>
      <w:marBottom w:val="0"/>
      <w:divBdr>
        <w:top w:val="none" w:sz="0" w:space="0" w:color="auto"/>
        <w:left w:val="none" w:sz="0" w:space="0" w:color="auto"/>
        <w:bottom w:val="none" w:sz="0" w:space="0" w:color="auto"/>
        <w:right w:val="none" w:sz="0" w:space="0" w:color="auto"/>
      </w:divBdr>
    </w:div>
    <w:div w:id="738557247">
      <w:bodyDiv w:val="1"/>
      <w:marLeft w:val="0"/>
      <w:marRight w:val="0"/>
      <w:marTop w:val="0"/>
      <w:marBottom w:val="0"/>
      <w:divBdr>
        <w:top w:val="none" w:sz="0" w:space="0" w:color="auto"/>
        <w:left w:val="none" w:sz="0" w:space="0" w:color="auto"/>
        <w:bottom w:val="none" w:sz="0" w:space="0" w:color="auto"/>
        <w:right w:val="none" w:sz="0" w:space="0" w:color="auto"/>
      </w:divBdr>
    </w:div>
    <w:div w:id="739987622">
      <w:bodyDiv w:val="1"/>
      <w:marLeft w:val="0"/>
      <w:marRight w:val="0"/>
      <w:marTop w:val="0"/>
      <w:marBottom w:val="0"/>
      <w:divBdr>
        <w:top w:val="none" w:sz="0" w:space="0" w:color="auto"/>
        <w:left w:val="none" w:sz="0" w:space="0" w:color="auto"/>
        <w:bottom w:val="none" w:sz="0" w:space="0" w:color="auto"/>
        <w:right w:val="none" w:sz="0" w:space="0" w:color="auto"/>
      </w:divBdr>
    </w:div>
    <w:div w:id="802506068">
      <w:bodyDiv w:val="1"/>
      <w:marLeft w:val="0"/>
      <w:marRight w:val="0"/>
      <w:marTop w:val="0"/>
      <w:marBottom w:val="0"/>
      <w:divBdr>
        <w:top w:val="none" w:sz="0" w:space="0" w:color="auto"/>
        <w:left w:val="none" w:sz="0" w:space="0" w:color="auto"/>
        <w:bottom w:val="none" w:sz="0" w:space="0" w:color="auto"/>
        <w:right w:val="none" w:sz="0" w:space="0" w:color="auto"/>
      </w:divBdr>
    </w:div>
    <w:div w:id="822312420">
      <w:bodyDiv w:val="1"/>
      <w:marLeft w:val="0"/>
      <w:marRight w:val="0"/>
      <w:marTop w:val="0"/>
      <w:marBottom w:val="0"/>
      <w:divBdr>
        <w:top w:val="none" w:sz="0" w:space="0" w:color="auto"/>
        <w:left w:val="none" w:sz="0" w:space="0" w:color="auto"/>
        <w:bottom w:val="none" w:sz="0" w:space="0" w:color="auto"/>
        <w:right w:val="none" w:sz="0" w:space="0" w:color="auto"/>
      </w:divBdr>
    </w:div>
    <w:div w:id="866017425">
      <w:bodyDiv w:val="1"/>
      <w:marLeft w:val="0"/>
      <w:marRight w:val="0"/>
      <w:marTop w:val="0"/>
      <w:marBottom w:val="0"/>
      <w:divBdr>
        <w:top w:val="none" w:sz="0" w:space="0" w:color="auto"/>
        <w:left w:val="none" w:sz="0" w:space="0" w:color="auto"/>
        <w:bottom w:val="none" w:sz="0" w:space="0" w:color="auto"/>
        <w:right w:val="none" w:sz="0" w:space="0" w:color="auto"/>
      </w:divBdr>
    </w:div>
    <w:div w:id="918095608">
      <w:bodyDiv w:val="1"/>
      <w:marLeft w:val="0"/>
      <w:marRight w:val="0"/>
      <w:marTop w:val="0"/>
      <w:marBottom w:val="0"/>
      <w:divBdr>
        <w:top w:val="none" w:sz="0" w:space="0" w:color="auto"/>
        <w:left w:val="none" w:sz="0" w:space="0" w:color="auto"/>
        <w:bottom w:val="none" w:sz="0" w:space="0" w:color="auto"/>
        <w:right w:val="none" w:sz="0" w:space="0" w:color="auto"/>
      </w:divBdr>
    </w:div>
    <w:div w:id="959604315">
      <w:bodyDiv w:val="1"/>
      <w:marLeft w:val="0"/>
      <w:marRight w:val="0"/>
      <w:marTop w:val="0"/>
      <w:marBottom w:val="0"/>
      <w:divBdr>
        <w:top w:val="none" w:sz="0" w:space="0" w:color="auto"/>
        <w:left w:val="none" w:sz="0" w:space="0" w:color="auto"/>
        <w:bottom w:val="none" w:sz="0" w:space="0" w:color="auto"/>
        <w:right w:val="none" w:sz="0" w:space="0" w:color="auto"/>
      </w:divBdr>
    </w:div>
    <w:div w:id="991563392">
      <w:bodyDiv w:val="1"/>
      <w:marLeft w:val="0"/>
      <w:marRight w:val="0"/>
      <w:marTop w:val="0"/>
      <w:marBottom w:val="0"/>
      <w:divBdr>
        <w:top w:val="none" w:sz="0" w:space="0" w:color="auto"/>
        <w:left w:val="none" w:sz="0" w:space="0" w:color="auto"/>
        <w:bottom w:val="none" w:sz="0" w:space="0" w:color="auto"/>
        <w:right w:val="none" w:sz="0" w:space="0" w:color="auto"/>
      </w:divBdr>
    </w:div>
    <w:div w:id="1016272135">
      <w:bodyDiv w:val="1"/>
      <w:marLeft w:val="0"/>
      <w:marRight w:val="0"/>
      <w:marTop w:val="0"/>
      <w:marBottom w:val="0"/>
      <w:divBdr>
        <w:top w:val="none" w:sz="0" w:space="0" w:color="auto"/>
        <w:left w:val="none" w:sz="0" w:space="0" w:color="auto"/>
        <w:bottom w:val="none" w:sz="0" w:space="0" w:color="auto"/>
        <w:right w:val="none" w:sz="0" w:space="0" w:color="auto"/>
      </w:divBdr>
    </w:div>
    <w:div w:id="1021200485">
      <w:bodyDiv w:val="1"/>
      <w:marLeft w:val="0"/>
      <w:marRight w:val="0"/>
      <w:marTop w:val="0"/>
      <w:marBottom w:val="0"/>
      <w:divBdr>
        <w:top w:val="none" w:sz="0" w:space="0" w:color="auto"/>
        <w:left w:val="none" w:sz="0" w:space="0" w:color="auto"/>
        <w:bottom w:val="none" w:sz="0" w:space="0" w:color="auto"/>
        <w:right w:val="none" w:sz="0" w:space="0" w:color="auto"/>
      </w:divBdr>
    </w:div>
    <w:div w:id="1035038189">
      <w:bodyDiv w:val="1"/>
      <w:marLeft w:val="0"/>
      <w:marRight w:val="0"/>
      <w:marTop w:val="0"/>
      <w:marBottom w:val="0"/>
      <w:divBdr>
        <w:top w:val="none" w:sz="0" w:space="0" w:color="auto"/>
        <w:left w:val="none" w:sz="0" w:space="0" w:color="auto"/>
        <w:bottom w:val="none" w:sz="0" w:space="0" w:color="auto"/>
        <w:right w:val="none" w:sz="0" w:space="0" w:color="auto"/>
      </w:divBdr>
    </w:div>
    <w:div w:id="1047679939">
      <w:bodyDiv w:val="1"/>
      <w:marLeft w:val="0"/>
      <w:marRight w:val="0"/>
      <w:marTop w:val="0"/>
      <w:marBottom w:val="0"/>
      <w:divBdr>
        <w:top w:val="none" w:sz="0" w:space="0" w:color="auto"/>
        <w:left w:val="none" w:sz="0" w:space="0" w:color="auto"/>
        <w:bottom w:val="none" w:sz="0" w:space="0" w:color="auto"/>
        <w:right w:val="none" w:sz="0" w:space="0" w:color="auto"/>
      </w:divBdr>
      <w:divsChild>
        <w:div w:id="746002394">
          <w:marLeft w:val="0"/>
          <w:marRight w:val="0"/>
          <w:marTop w:val="0"/>
          <w:marBottom w:val="0"/>
          <w:divBdr>
            <w:top w:val="none" w:sz="0" w:space="0" w:color="auto"/>
            <w:left w:val="none" w:sz="0" w:space="0" w:color="auto"/>
            <w:bottom w:val="none" w:sz="0" w:space="0" w:color="auto"/>
            <w:right w:val="none" w:sz="0" w:space="0" w:color="auto"/>
          </w:divBdr>
        </w:div>
        <w:div w:id="35786595">
          <w:marLeft w:val="0"/>
          <w:marRight w:val="0"/>
          <w:marTop w:val="0"/>
          <w:marBottom w:val="0"/>
          <w:divBdr>
            <w:top w:val="none" w:sz="0" w:space="0" w:color="auto"/>
            <w:left w:val="none" w:sz="0" w:space="0" w:color="auto"/>
            <w:bottom w:val="none" w:sz="0" w:space="0" w:color="auto"/>
            <w:right w:val="none" w:sz="0" w:space="0" w:color="auto"/>
          </w:divBdr>
        </w:div>
        <w:div w:id="1283223074">
          <w:marLeft w:val="0"/>
          <w:marRight w:val="0"/>
          <w:marTop w:val="0"/>
          <w:marBottom w:val="0"/>
          <w:divBdr>
            <w:top w:val="none" w:sz="0" w:space="0" w:color="auto"/>
            <w:left w:val="none" w:sz="0" w:space="0" w:color="auto"/>
            <w:bottom w:val="none" w:sz="0" w:space="0" w:color="auto"/>
            <w:right w:val="none" w:sz="0" w:space="0" w:color="auto"/>
          </w:divBdr>
        </w:div>
        <w:div w:id="737898535">
          <w:marLeft w:val="0"/>
          <w:marRight w:val="0"/>
          <w:marTop w:val="0"/>
          <w:marBottom w:val="0"/>
          <w:divBdr>
            <w:top w:val="none" w:sz="0" w:space="0" w:color="auto"/>
            <w:left w:val="none" w:sz="0" w:space="0" w:color="auto"/>
            <w:bottom w:val="none" w:sz="0" w:space="0" w:color="auto"/>
            <w:right w:val="none" w:sz="0" w:space="0" w:color="auto"/>
          </w:divBdr>
        </w:div>
      </w:divsChild>
    </w:div>
    <w:div w:id="1104112395">
      <w:bodyDiv w:val="1"/>
      <w:marLeft w:val="0"/>
      <w:marRight w:val="0"/>
      <w:marTop w:val="0"/>
      <w:marBottom w:val="0"/>
      <w:divBdr>
        <w:top w:val="none" w:sz="0" w:space="0" w:color="auto"/>
        <w:left w:val="none" w:sz="0" w:space="0" w:color="auto"/>
        <w:bottom w:val="none" w:sz="0" w:space="0" w:color="auto"/>
        <w:right w:val="none" w:sz="0" w:space="0" w:color="auto"/>
      </w:divBdr>
    </w:div>
    <w:div w:id="1120614388">
      <w:bodyDiv w:val="1"/>
      <w:marLeft w:val="0"/>
      <w:marRight w:val="0"/>
      <w:marTop w:val="0"/>
      <w:marBottom w:val="0"/>
      <w:divBdr>
        <w:top w:val="none" w:sz="0" w:space="0" w:color="auto"/>
        <w:left w:val="none" w:sz="0" w:space="0" w:color="auto"/>
        <w:bottom w:val="none" w:sz="0" w:space="0" w:color="auto"/>
        <w:right w:val="none" w:sz="0" w:space="0" w:color="auto"/>
      </w:divBdr>
    </w:div>
    <w:div w:id="1130636932">
      <w:bodyDiv w:val="1"/>
      <w:marLeft w:val="0"/>
      <w:marRight w:val="0"/>
      <w:marTop w:val="0"/>
      <w:marBottom w:val="0"/>
      <w:divBdr>
        <w:top w:val="none" w:sz="0" w:space="0" w:color="auto"/>
        <w:left w:val="none" w:sz="0" w:space="0" w:color="auto"/>
        <w:bottom w:val="none" w:sz="0" w:space="0" w:color="auto"/>
        <w:right w:val="none" w:sz="0" w:space="0" w:color="auto"/>
      </w:divBdr>
    </w:div>
    <w:div w:id="1130783087">
      <w:bodyDiv w:val="1"/>
      <w:marLeft w:val="0"/>
      <w:marRight w:val="0"/>
      <w:marTop w:val="0"/>
      <w:marBottom w:val="0"/>
      <w:divBdr>
        <w:top w:val="none" w:sz="0" w:space="0" w:color="auto"/>
        <w:left w:val="none" w:sz="0" w:space="0" w:color="auto"/>
        <w:bottom w:val="none" w:sz="0" w:space="0" w:color="auto"/>
        <w:right w:val="none" w:sz="0" w:space="0" w:color="auto"/>
      </w:divBdr>
    </w:div>
    <w:div w:id="1162544313">
      <w:bodyDiv w:val="1"/>
      <w:marLeft w:val="0"/>
      <w:marRight w:val="0"/>
      <w:marTop w:val="0"/>
      <w:marBottom w:val="0"/>
      <w:divBdr>
        <w:top w:val="none" w:sz="0" w:space="0" w:color="auto"/>
        <w:left w:val="none" w:sz="0" w:space="0" w:color="auto"/>
        <w:bottom w:val="none" w:sz="0" w:space="0" w:color="auto"/>
        <w:right w:val="none" w:sz="0" w:space="0" w:color="auto"/>
      </w:divBdr>
    </w:div>
    <w:div w:id="1177189526">
      <w:bodyDiv w:val="1"/>
      <w:marLeft w:val="0"/>
      <w:marRight w:val="0"/>
      <w:marTop w:val="0"/>
      <w:marBottom w:val="0"/>
      <w:divBdr>
        <w:top w:val="none" w:sz="0" w:space="0" w:color="auto"/>
        <w:left w:val="none" w:sz="0" w:space="0" w:color="auto"/>
        <w:bottom w:val="none" w:sz="0" w:space="0" w:color="auto"/>
        <w:right w:val="none" w:sz="0" w:space="0" w:color="auto"/>
      </w:divBdr>
    </w:div>
    <w:div w:id="1187331155">
      <w:bodyDiv w:val="1"/>
      <w:marLeft w:val="0"/>
      <w:marRight w:val="0"/>
      <w:marTop w:val="0"/>
      <w:marBottom w:val="0"/>
      <w:divBdr>
        <w:top w:val="none" w:sz="0" w:space="0" w:color="auto"/>
        <w:left w:val="none" w:sz="0" w:space="0" w:color="auto"/>
        <w:bottom w:val="none" w:sz="0" w:space="0" w:color="auto"/>
        <w:right w:val="none" w:sz="0" w:space="0" w:color="auto"/>
      </w:divBdr>
    </w:div>
    <w:div w:id="1192185274">
      <w:bodyDiv w:val="1"/>
      <w:marLeft w:val="0"/>
      <w:marRight w:val="0"/>
      <w:marTop w:val="0"/>
      <w:marBottom w:val="0"/>
      <w:divBdr>
        <w:top w:val="none" w:sz="0" w:space="0" w:color="auto"/>
        <w:left w:val="none" w:sz="0" w:space="0" w:color="auto"/>
        <w:bottom w:val="none" w:sz="0" w:space="0" w:color="auto"/>
        <w:right w:val="none" w:sz="0" w:space="0" w:color="auto"/>
      </w:divBdr>
    </w:div>
    <w:div w:id="1226604276">
      <w:bodyDiv w:val="1"/>
      <w:marLeft w:val="0"/>
      <w:marRight w:val="0"/>
      <w:marTop w:val="0"/>
      <w:marBottom w:val="0"/>
      <w:divBdr>
        <w:top w:val="none" w:sz="0" w:space="0" w:color="auto"/>
        <w:left w:val="none" w:sz="0" w:space="0" w:color="auto"/>
        <w:bottom w:val="none" w:sz="0" w:space="0" w:color="auto"/>
        <w:right w:val="none" w:sz="0" w:space="0" w:color="auto"/>
      </w:divBdr>
    </w:div>
    <w:div w:id="1227758843">
      <w:bodyDiv w:val="1"/>
      <w:marLeft w:val="0"/>
      <w:marRight w:val="0"/>
      <w:marTop w:val="0"/>
      <w:marBottom w:val="0"/>
      <w:divBdr>
        <w:top w:val="none" w:sz="0" w:space="0" w:color="auto"/>
        <w:left w:val="none" w:sz="0" w:space="0" w:color="auto"/>
        <w:bottom w:val="none" w:sz="0" w:space="0" w:color="auto"/>
        <w:right w:val="none" w:sz="0" w:space="0" w:color="auto"/>
      </w:divBdr>
    </w:div>
    <w:div w:id="1246186202">
      <w:bodyDiv w:val="1"/>
      <w:marLeft w:val="0"/>
      <w:marRight w:val="0"/>
      <w:marTop w:val="0"/>
      <w:marBottom w:val="0"/>
      <w:divBdr>
        <w:top w:val="none" w:sz="0" w:space="0" w:color="auto"/>
        <w:left w:val="none" w:sz="0" w:space="0" w:color="auto"/>
        <w:bottom w:val="none" w:sz="0" w:space="0" w:color="auto"/>
        <w:right w:val="none" w:sz="0" w:space="0" w:color="auto"/>
      </w:divBdr>
    </w:div>
    <w:div w:id="1270770465">
      <w:bodyDiv w:val="1"/>
      <w:marLeft w:val="0"/>
      <w:marRight w:val="0"/>
      <w:marTop w:val="0"/>
      <w:marBottom w:val="0"/>
      <w:divBdr>
        <w:top w:val="none" w:sz="0" w:space="0" w:color="auto"/>
        <w:left w:val="none" w:sz="0" w:space="0" w:color="auto"/>
        <w:bottom w:val="none" w:sz="0" w:space="0" w:color="auto"/>
        <w:right w:val="none" w:sz="0" w:space="0" w:color="auto"/>
      </w:divBdr>
    </w:div>
    <w:div w:id="1273778299">
      <w:bodyDiv w:val="1"/>
      <w:marLeft w:val="0"/>
      <w:marRight w:val="0"/>
      <w:marTop w:val="0"/>
      <w:marBottom w:val="0"/>
      <w:divBdr>
        <w:top w:val="none" w:sz="0" w:space="0" w:color="auto"/>
        <w:left w:val="none" w:sz="0" w:space="0" w:color="auto"/>
        <w:bottom w:val="none" w:sz="0" w:space="0" w:color="auto"/>
        <w:right w:val="none" w:sz="0" w:space="0" w:color="auto"/>
      </w:divBdr>
    </w:div>
    <w:div w:id="1309433002">
      <w:bodyDiv w:val="1"/>
      <w:marLeft w:val="0"/>
      <w:marRight w:val="0"/>
      <w:marTop w:val="0"/>
      <w:marBottom w:val="0"/>
      <w:divBdr>
        <w:top w:val="none" w:sz="0" w:space="0" w:color="auto"/>
        <w:left w:val="none" w:sz="0" w:space="0" w:color="auto"/>
        <w:bottom w:val="none" w:sz="0" w:space="0" w:color="auto"/>
        <w:right w:val="none" w:sz="0" w:space="0" w:color="auto"/>
      </w:divBdr>
    </w:div>
    <w:div w:id="1314286787">
      <w:bodyDiv w:val="1"/>
      <w:marLeft w:val="0"/>
      <w:marRight w:val="0"/>
      <w:marTop w:val="0"/>
      <w:marBottom w:val="0"/>
      <w:divBdr>
        <w:top w:val="none" w:sz="0" w:space="0" w:color="auto"/>
        <w:left w:val="none" w:sz="0" w:space="0" w:color="auto"/>
        <w:bottom w:val="none" w:sz="0" w:space="0" w:color="auto"/>
        <w:right w:val="none" w:sz="0" w:space="0" w:color="auto"/>
      </w:divBdr>
    </w:div>
    <w:div w:id="1344821486">
      <w:bodyDiv w:val="1"/>
      <w:marLeft w:val="0"/>
      <w:marRight w:val="0"/>
      <w:marTop w:val="0"/>
      <w:marBottom w:val="0"/>
      <w:divBdr>
        <w:top w:val="none" w:sz="0" w:space="0" w:color="auto"/>
        <w:left w:val="none" w:sz="0" w:space="0" w:color="auto"/>
        <w:bottom w:val="none" w:sz="0" w:space="0" w:color="auto"/>
        <w:right w:val="none" w:sz="0" w:space="0" w:color="auto"/>
      </w:divBdr>
    </w:div>
    <w:div w:id="1350066204">
      <w:bodyDiv w:val="1"/>
      <w:marLeft w:val="0"/>
      <w:marRight w:val="0"/>
      <w:marTop w:val="0"/>
      <w:marBottom w:val="0"/>
      <w:divBdr>
        <w:top w:val="none" w:sz="0" w:space="0" w:color="auto"/>
        <w:left w:val="none" w:sz="0" w:space="0" w:color="auto"/>
        <w:bottom w:val="none" w:sz="0" w:space="0" w:color="auto"/>
        <w:right w:val="none" w:sz="0" w:space="0" w:color="auto"/>
      </w:divBdr>
    </w:div>
    <w:div w:id="1370951657">
      <w:bodyDiv w:val="1"/>
      <w:marLeft w:val="0"/>
      <w:marRight w:val="0"/>
      <w:marTop w:val="0"/>
      <w:marBottom w:val="0"/>
      <w:divBdr>
        <w:top w:val="none" w:sz="0" w:space="0" w:color="auto"/>
        <w:left w:val="none" w:sz="0" w:space="0" w:color="auto"/>
        <w:bottom w:val="none" w:sz="0" w:space="0" w:color="auto"/>
        <w:right w:val="none" w:sz="0" w:space="0" w:color="auto"/>
      </w:divBdr>
    </w:div>
    <w:div w:id="1373264740">
      <w:bodyDiv w:val="1"/>
      <w:marLeft w:val="0"/>
      <w:marRight w:val="0"/>
      <w:marTop w:val="0"/>
      <w:marBottom w:val="0"/>
      <w:divBdr>
        <w:top w:val="none" w:sz="0" w:space="0" w:color="auto"/>
        <w:left w:val="none" w:sz="0" w:space="0" w:color="auto"/>
        <w:bottom w:val="none" w:sz="0" w:space="0" w:color="auto"/>
        <w:right w:val="none" w:sz="0" w:space="0" w:color="auto"/>
      </w:divBdr>
    </w:div>
    <w:div w:id="1415783993">
      <w:bodyDiv w:val="1"/>
      <w:marLeft w:val="0"/>
      <w:marRight w:val="0"/>
      <w:marTop w:val="0"/>
      <w:marBottom w:val="0"/>
      <w:divBdr>
        <w:top w:val="none" w:sz="0" w:space="0" w:color="auto"/>
        <w:left w:val="none" w:sz="0" w:space="0" w:color="auto"/>
        <w:bottom w:val="none" w:sz="0" w:space="0" w:color="auto"/>
        <w:right w:val="none" w:sz="0" w:space="0" w:color="auto"/>
      </w:divBdr>
    </w:div>
    <w:div w:id="1434282053">
      <w:bodyDiv w:val="1"/>
      <w:marLeft w:val="0"/>
      <w:marRight w:val="0"/>
      <w:marTop w:val="0"/>
      <w:marBottom w:val="0"/>
      <w:divBdr>
        <w:top w:val="none" w:sz="0" w:space="0" w:color="auto"/>
        <w:left w:val="none" w:sz="0" w:space="0" w:color="auto"/>
        <w:bottom w:val="none" w:sz="0" w:space="0" w:color="auto"/>
        <w:right w:val="none" w:sz="0" w:space="0" w:color="auto"/>
      </w:divBdr>
    </w:div>
    <w:div w:id="1452633034">
      <w:bodyDiv w:val="1"/>
      <w:marLeft w:val="0"/>
      <w:marRight w:val="0"/>
      <w:marTop w:val="0"/>
      <w:marBottom w:val="0"/>
      <w:divBdr>
        <w:top w:val="none" w:sz="0" w:space="0" w:color="auto"/>
        <w:left w:val="none" w:sz="0" w:space="0" w:color="auto"/>
        <w:bottom w:val="none" w:sz="0" w:space="0" w:color="auto"/>
        <w:right w:val="none" w:sz="0" w:space="0" w:color="auto"/>
      </w:divBdr>
    </w:div>
    <w:div w:id="1453137761">
      <w:bodyDiv w:val="1"/>
      <w:marLeft w:val="0"/>
      <w:marRight w:val="0"/>
      <w:marTop w:val="0"/>
      <w:marBottom w:val="0"/>
      <w:divBdr>
        <w:top w:val="none" w:sz="0" w:space="0" w:color="auto"/>
        <w:left w:val="none" w:sz="0" w:space="0" w:color="auto"/>
        <w:bottom w:val="none" w:sz="0" w:space="0" w:color="auto"/>
        <w:right w:val="none" w:sz="0" w:space="0" w:color="auto"/>
      </w:divBdr>
    </w:div>
    <w:div w:id="1556501965">
      <w:bodyDiv w:val="1"/>
      <w:marLeft w:val="0"/>
      <w:marRight w:val="0"/>
      <w:marTop w:val="0"/>
      <w:marBottom w:val="0"/>
      <w:divBdr>
        <w:top w:val="none" w:sz="0" w:space="0" w:color="auto"/>
        <w:left w:val="none" w:sz="0" w:space="0" w:color="auto"/>
        <w:bottom w:val="none" w:sz="0" w:space="0" w:color="auto"/>
        <w:right w:val="none" w:sz="0" w:space="0" w:color="auto"/>
      </w:divBdr>
    </w:div>
    <w:div w:id="1655374364">
      <w:bodyDiv w:val="1"/>
      <w:marLeft w:val="0"/>
      <w:marRight w:val="0"/>
      <w:marTop w:val="0"/>
      <w:marBottom w:val="0"/>
      <w:divBdr>
        <w:top w:val="none" w:sz="0" w:space="0" w:color="auto"/>
        <w:left w:val="none" w:sz="0" w:space="0" w:color="auto"/>
        <w:bottom w:val="none" w:sz="0" w:space="0" w:color="auto"/>
        <w:right w:val="none" w:sz="0" w:space="0" w:color="auto"/>
      </w:divBdr>
    </w:div>
    <w:div w:id="1658730879">
      <w:bodyDiv w:val="1"/>
      <w:marLeft w:val="0"/>
      <w:marRight w:val="0"/>
      <w:marTop w:val="0"/>
      <w:marBottom w:val="0"/>
      <w:divBdr>
        <w:top w:val="none" w:sz="0" w:space="0" w:color="auto"/>
        <w:left w:val="none" w:sz="0" w:space="0" w:color="auto"/>
        <w:bottom w:val="none" w:sz="0" w:space="0" w:color="auto"/>
        <w:right w:val="none" w:sz="0" w:space="0" w:color="auto"/>
      </w:divBdr>
    </w:div>
    <w:div w:id="1659184910">
      <w:bodyDiv w:val="1"/>
      <w:marLeft w:val="0"/>
      <w:marRight w:val="0"/>
      <w:marTop w:val="0"/>
      <w:marBottom w:val="0"/>
      <w:divBdr>
        <w:top w:val="none" w:sz="0" w:space="0" w:color="auto"/>
        <w:left w:val="none" w:sz="0" w:space="0" w:color="auto"/>
        <w:bottom w:val="none" w:sz="0" w:space="0" w:color="auto"/>
        <w:right w:val="none" w:sz="0" w:space="0" w:color="auto"/>
      </w:divBdr>
    </w:div>
    <w:div w:id="1666931723">
      <w:bodyDiv w:val="1"/>
      <w:marLeft w:val="0"/>
      <w:marRight w:val="0"/>
      <w:marTop w:val="0"/>
      <w:marBottom w:val="0"/>
      <w:divBdr>
        <w:top w:val="none" w:sz="0" w:space="0" w:color="auto"/>
        <w:left w:val="none" w:sz="0" w:space="0" w:color="auto"/>
        <w:bottom w:val="none" w:sz="0" w:space="0" w:color="auto"/>
        <w:right w:val="none" w:sz="0" w:space="0" w:color="auto"/>
      </w:divBdr>
    </w:div>
    <w:div w:id="1741823441">
      <w:bodyDiv w:val="1"/>
      <w:marLeft w:val="0"/>
      <w:marRight w:val="0"/>
      <w:marTop w:val="0"/>
      <w:marBottom w:val="0"/>
      <w:divBdr>
        <w:top w:val="none" w:sz="0" w:space="0" w:color="auto"/>
        <w:left w:val="none" w:sz="0" w:space="0" w:color="auto"/>
        <w:bottom w:val="none" w:sz="0" w:space="0" w:color="auto"/>
        <w:right w:val="none" w:sz="0" w:space="0" w:color="auto"/>
      </w:divBdr>
    </w:div>
    <w:div w:id="1776512271">
      <w:bodyDiv w:val="1"/>
      <w:marLeft w:val="0"/>
      <w:marRight w:val="0"/>
      <w:marTop w:val="0"/>
      <w:marBottom w:val="0"/>
      <w:divBdr>
        <w:top w:val="none" w:sz="0" w:space="0" w:color="auto"/>
        <w:left w:val="none" w:sz="0" w:space="0" w:color="auto"/>
        <w:bottom w:val="none" w:sz="0" w:space="0" w:color="auto"/>
        <w:right w:val="none" w:sz="0" w:space="0" w:color="auto"/>
      </w:divBdr>
    </w:div>
    <w:div w:id="1781804548">
      <w:bodyDiv w:val="1"/>
      <w:marLeft w:val="0"/>
      <w:marRight w:val="0"/>
      <w:marTop w:val="0"/>
      <w:marBottom w:val="0"/>
      <w:divBdr>
        <w:top w:val="none" w:sz="0" w:space="0" w:color="auto"/>
        <w:left w:val="none" w:sz="0" w:space="0" w:color="auto"/>
        <w:bottom w:val="none" w:sz="0" w:space="0" w:color="auto"/>
        <w:right w:val="none" w:sz="0" w:space="0" w:color="auto"/>
      </w:divBdr>
    </w:div>
    <w:div w:id="1883442711">
      <w:bodyDiv w:val="1"/>
      <w:marLeft w:val="0"/>
      <w:marRight w:val="0"/>
      <w:marTop w:val="0"/>
      <w:marBottom w:val="0"/>
      <w:divBdr>
        <w:top w:val="none" w:sz="0" w:space="0" w:color="auto"/>
        <w:left w:val="none" w:sz="0" w:space="0" w:color="auto"/>
        <w:bottom w:val="none" w:sz="0" w:space="0" w:color="auto"/>
        <w:right w:val="none" w:sz="0" w:space="0" w:color="auto"/>
      </w:divBdr>
    </w:div>
    <w:div w:id="19324648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372">
          <w:marLeft w:val="0"/>
          <w:marRight w:val="0"/>
          <w:marTop w:val="0"/>
          <w:marBottom w:val="0"/>
          <w:divBdr>
            <w:top w:val="none" w:sz="0" w:space="0" w:color="auto"/>
            <w:left w:val="none" w:sz="0" w:space="0" w:color="auto"/>
            <w:bottom w:val="none" w:sz="0" w:space="0" w:color="auto"/>
            <w:right w:val="none" w:sz="0" w:space="0" w:color="auto"/>
          </w:divBdr>
        </w:div>
        <w:div w:id="1269434915">
          <w:marLeft w:val="0"/>
          <w:marRight w:val="0"/>
          <w:marTop w:val="0"/>
          <w:marBottom w:val="0"/>
          <w:divBdr>
            <w:top w:val="none" w:sz="0" w:space="0" w:color="auto"/>
            <w:left w:val="none" w:sz="0" w:space="0" w:color="auto"/>
            <w:bottom w:val="none" w:sz="0" w:space="0" w:color="auto"/>
            <w:right w:val="none" w:sz="0" w:space="0" w:color="auto"/>
          </w:divBdr>
        </w:div>
      </w:divsChild>
    </w:div>
    <w:div w:id="1938173173">
      <w:bodyDiv w:val="1"/>
      <w:marLeft w:val="0"/>
      <w:marRight w:val="0"/>
      <w:marTop w:val="0"/>
      <w:marBottom w:val="0"/>
      <w:divBdr>
        <w:top w:val="none" w:sz="0" w:space="0" w:color="auto"/>
        <w:left w:val="none" w:sz="0" w:space="0" w:color="auto"/>
        <w:bottom w:val="none" w:sz="0" w:space="0" w:color="auto"/>
        <w:right w:val="none" w:sz="0" w:space="0" w:color="auto"/>
      </w:divBdr>
    </w:div>
    <w:div w:id="1986158496">
      <w:bodyDiv w:val="1"/>
      <w:marLeft w:val="0"/>
      <w:marRight w:val="0"/>
      <w:marTop w:val="0"/>
      <w:marBottom w:val="0"/>
      <w:divBdr>
        <w:top w:val="none" w:sz="0" w:space="0" w:color="auto"/>
        <w:left w:val="none" w:sz="0" w:space="0" w:color="auto"/>
        <w:bottom w:val="none" w:sz="0" w:space="0" w:color="auto"/>
        <w:right w:val="none" w:sz="0" w:space="0" w:color="auto"/>
      </w:divBdr>
    </w:div>
    <w:div w:id="2048023661">
      <w:bodyDiv w:val="1"/>
      <w:marLeft w:val="0"/>
      <w:marRight w:val="0"/>
      <w:marTop w:val="0"/>
      <w:marBottom w:val="0"/>
      <w:divBdr>
        <w:top w:val="none" w:sz="0" w:space="0" w:color="auto"/>
        <w:left w:val="none" w:sz="0" w:space="0" w:color="auto"/>
        <w:bottom w:val="none" w:sz="0" w:space="0" w:color="auto"/>
        <w:right w:val="none" w:sz="0" w:space="0" w:color="auto"/>
      </w:divBdr>
    </w:div>
    <w:div w:id="2062745839">
      <w:bodyDiv w:val="1"/>
      <w:marLeft w:val="0"/>
      <w:marRight w:val="0"/>
      <w:marTop w:val="0"/>
      <w:marBottom w:val="0"/>
      <w:divBdr>
        <w:top w:val="none" w:sz="0" w:space="0" w:color="auto"/>
        <w:left w:val="none" w:sz="0" w:space="0" w:color="auto"/>
        <w:bottom w:val="none" w:sz="0" w:space="0" w:color="auto"/>
        <w:right w:val="none" w:sz="0" w:space="0" w:color="auto"/>
      </w:divBdr>
    </w:div>
    <w:div w:id="2070640923">
      <w:bodyDiv w:val="1"/>
      <w:marLeft w:val="0"/>
      <w:marRight w:val="0"/>
      <w:marTop w:val="0"/>
      <w:marBottom w:val="0"/>
      <w:divBdr>
        <w:top w:val="none" w:sz="0" w:space="0" w:color="auto"/>
        <w:left w:val="none" w:sz="0" w:space="0" w:color="auto"/>
        <w:bottom w:val="none" w:sz="0" w:space="0" w:color="auto"/>
        <w:right w:val="none" w:sz="0" w:space="0" w:color="auto"/>
      </w:divBdr>
    </w:div>
    <w:div w:id="2085250075">
      <w:bodyDiv w:val="1"/>
      <w:marLeft w:val="0"/>
      <w:marRight w:val="0"/>
      <w:marTop w:val="0"/>
      <w:marBottom w:val="0"/>
      <w:divBdr>
        <w:top w:val="none" w:sz="0" w:space="0" w:color="auto"/>
        <w:left w:val="none" w:sz="0" w:space="0" w:color="auto"/>
        <w:bottom w:val="none" w:sz="0" w:space="0" w:color="auto"/>
        <w:right w:val="none" w:sz="0" w:space="0" w:color="auto"/>
      </w:divBdr>
    </w:div>
    <w:div w:id="21009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354" TargetMode="External"/><Relationship Id="rId13" Type="http://schemas.openxmlformats.org/officeDocument/2006/relationships/hyperlink" Target="https://likumi.lv/ta/id/13736-grozijumi-satversmes-tiesas-likuma" TargetMode="External"/><Relationship Id="rId18" Type="http://schemas.openxmlformats.org/officeDocument/2006/relationships/hyperlink" Target="https://likumi.lv/ta/id/57980-latvijas-republikas-satversme" TargetMode="External"/><Relationship Id="rId26" Type="http://schemas.openxmlformats.org/officeDocument/2006/relationships/hyperlink" Target="https://likumi.lv/ta/id/202273-valsts-un-pasvaldibu-instituciju-amatpersonu-un-darbinieku-atlidzibas-likums" TargetMode="External"/><Relationship Id="rId3" Type="http://schemas.openxmlformats.org/officeDocument/2006/relationships/styles" Target="styles.xml"/><Relationship Id="rId21" Type="http://schemas.openxmlformats.org/officeDocument/2006/relationships/hyperlink" Target="https://likumi.lv/ta/id/63354-satversmes-tiesas-likums/redakcijas-datums/2008/04/01" TargetMode="External"/><Relationship Id="rId7" Type="http://schemas.openxmlformats.org/officeDocument/2006/relationships/endnotes" Target="endnotes.xml"/><Relationship Id="rId12" Type="http://schemas.openxmlformats.org/officeDocument/2006/relationships/hyperlink" Target="https://likumi.lv/ta/id/62847-par-tiesu-varu" TargetMode="External"/><Relationship Id="rId17" Type="http://schemas.openxmlformats.org/officeDocument/2006/relationships/hyperlink" Target="https://likumi.lv/ta/id/62847-par-tiesu-varu" TargetMode="External"/><Relationship Id="rId25" Type="http://schemas.openxmlformats.org/officeDocument/2006/relationships/hyperlink" Target="https://likumi.lv/ta/id/63354-satversmes-tiesas-likums/redakcijas-datums/2010/0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165067-par-satversmes-tiesas-likuma-7-panta-ceturtas-dalas-vardu-bez-pilnvaru-termina-ierobezojuma-atbilstibu-latvijas-republikas-satv..." TargetMode="External"/><Relationship Id="rId20" Type="http://schemas.openxmlformats.org/officeDocument/2006/relationships/hyperlink" Target="https://likumi.lv/ta/id/57980-latvijas-republikas-satversme" TargetMode="External"/><Relationship Id="rId29" Type="http://schemas.openxmlformats.org/officeDocument/2006/relationships/hyperlink" Target="https://likumi.lv/ta/id/203013-grozijumi-satversmes-tiesas-lik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354" TargetMode="External"/><Relationship Id="rId24" Type="http://schemas.openxmlformats.org/officeDocument/2006/relationships/hyperlink" Target="https://likumi.lv/ta/id/203013-grozijumi-satversmes-tiesas-liku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63354-satversmes-tiesas-likums/redakcijas-datums/2010/01/01" TargetMode="External"/><Relationship Id="rId23" Type="http://schemas.openxmlformats.org/officeDocument/2006/relationships/hyperlink" Target="https://likumi.lv/ta/id/13736-grozijumi-satversmes-tiesas-likuma" TargetMode="External"/><Relationship Id="rId28" Type="http://schemas.openxmlformats.org/officeDocument/2006/relationships/hyperlink" Target="https://likumi.lv/ta/id/201790-grozijumi-satversmes-tiesas-likuma" TargetMode="External"/><Relationship Id="rId10" Type="http://schemas.openxmlformats.org/officeDocument/2006/relationships/hyperlink" Target="https://likumi.lv/ta/id/63354" TargetMode="External"/><Relationship Id="rId19" Type="http://schemas.openxmlformats.org/officeDocument/2006/relationships/hyperlink" Target="https://likumi.lv/ta/id/57980-latvijas-republikas-satversm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3354" TargetMode="External"/><Relationship Id="rId14" Type="http://schemas.openxmlformats.org/officeDocument/2006/relationships/hyperlink" Target="https://likumi.lv/ta/id/203013-grozijumi-satversmes-tiesas-likuma" TargetMode="External"/><Relationship Id="rId22" Type="http://schemas.openxmlformats.org/officeDocument/2006/relationships/hyperlink" Target="https://likumi.lv/ta/id/45033-grozijumi-satversmes-tiesas-likuma" TargetMode="External"/><Relationship Id="rId27" Type="http://schemas.openxmlformats.org/officeDocument/2006/relationships/hyperlink" Target="https://likumi.lv/ta/id/76780-grozijumi-satversmes-tiesas-likuma" TargetMode="External"/><Relationship Id="rId30" Type="http://schemas.openxmlformats.org/officeDocument/2006/relationships/hyperlink" Target="https://likumi.lv/ta/id/63354-satversmes-tiesas-likums/redakcijas-datums/201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4C31-71C7-4806-A4CB-E3DB3907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5927</Words>
  <Characters>3379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3</cp:revision>
  <cp:lastPrinted>2019-12-10T11:34:00Z</cp:lastPrinted>
  <dcterms:created xsi:type="dcterms:W3CDTF">2020-03-16T12:28:00Z</dcterms:created>
  <dcterms:modified xsi:type="dcterms:W3CDTF">2020-03-16T12:45:00Z</dcterms:modified>
</cp:coreProperties>
</file>